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C36D" w14:textId="78FFE77D" w:rsidR="00505F64" w:rsidRDefault="00505F64" w:rsidP="00C02CA6">
      <w:pPr>
        <w:pStyle w:val="Heading1"/>
      </w:pPr>
      <w:bookmarkStart w:id="0" w:name="_Toc67662775"/>
    </w:p>
    <w:p w14:paraId="0C609DC6" w14:textId="77777777" w:rsidR="00505F64" w:rsidRPr="00505F64" w:rsidRDefault="00505F64" w:rsidP="00C02CA6">
      <w:pPr>
        <w:pStyle w:val="Heading1"/>
        <w:jc w:val="left"/>
      </w:pPr>
    </w:p>
    <w:p w14:paraId="742C5089" w14:textId="200B3559" w:rsidR="001F550F" w:rsidRPr="00577DBB" w:rsidRDefault="001F550F" w:rsidP="00577DBB">
      <w:pPr>
        <w:spacing w:line="480" w:lineRule="auto"/>
        <w:jc w:val="center"/>
        <w:rPr>
          <w:b/>
          <w:bCs/>
        </w:rPr>
      </w:pPr>
      <w:r w:rsidRPr="00577DBB">
        <w:rPr>
          <w:b/>
          <w:bCs/>
        </w:rPr>
        <w:t>Factors Affecting Students’ Learning from a Design-based Implementation Research Project in Diverse Education Systems</w:t>
      </w:r>
      <w:bookmarkEnd w:id="0"/>
    </w:p>
    <w:p w14:paraId="61662AA1" w14:textId="77777777" w:rsidR="001148F9" w:rsidRDefault="001148F9" w:rsidP="001F550F">
      <w:pPr>
        <w:spacing w:line="480" w:lineRule="auto"/>
      </w:pPr>
    </w:p>
    <w:p w14:paraId="1EF839CE" w14:textId="77777777" w:rsidR="006854E8" w:rsidRPr="00BE6B1E" w:rsidRDefault="006854E8" w:rsidP="002A6470">
      <w:pPr>
        <w:pBdr>
          <w:top w:val="nil"/>
          <w:left w:val="nil"/>
          <w:bottom w:val="nil"/>
          <w:right w:val="nil"/>
          <w:between w:val="nil"/>
        </w:pBdr>
        <w:spacing w:line="480" w:lineRule="auto"/>
        <w:jc w:val="center"/>
        <w:rPr>
          <w:bCs/>
          <w:color w:val="000000"/>
        </w:rPr>
      </w:pPr>
      <w:r w:rsidRPr="00BE6B1E">
        <w:rPr>
          <w:bCs/>
          <w:color w:val="000000"/>
        </w:rPr>
        <w:t>Qinyun Lin</w:t>
      </w:r>
      <w:r w:rsidRPr="00BE6B1E">
        <w:rPr>
          <w:bCs/>
          <w:color w:val="000000"/>
          <w:vertAlign w:val="superscript"/>
        </w:rPr>
        <w:t>1</w:t>
      </w:r>
      <w:r w:rsidRPr="00BE6B1E">
        <w:rPr>
          <w:bCs/>
          <w:color w:val="000000"/>
        </w:rPr>
        <w:t xml:space="preserve">, </w:t>
      </w:r>
      <w:r w:rsidR="00975E85">
        <w:rPr>
          <w:bCs/>
          <w:color w:val="000000"/>
        </w:rPr>
        <w:t>Kenneth A. Frank</w:t>
      </w:r>
      <w:r w:rsidRPr="00BE6B1E">
        <w:rPr>
          <w:bCs/>
          <w:color w:val="000000"/>
          <w:vertAlign w:val="superscript"/>
        </w:rPr>
        <w:t>2</w:t>
      </w:r>
      <w:r w:rsidRPr="00BE6B1E">
        <w:rPr>
          <w:bCs/>
          <w:color w:val="000000"/>
        </w:rPr>
        <w:t xml:space="preserve">, </w:t>
      </w:r>
      <w:r w:rsidR="00975E85">
        <w:rPr>
          <w:bCs/>
          <w:color w:val="000000"/>
        </w:rPr>
        <w:t xml:space="preserve">Shruti </w:t>
      </w:r>
      <w:r w:rsidR="001D636E">
        <w:rPr>
          <w:bCs/>
          <w:color w:val="000000"/>
        </w:rPr>
        <w:t>Bathia</w:t>
      </w:r>
      <w:r w:rsidRPr="00BE6B1E">
        <w:rPr>
          <w:bCs/>
          <w:color w:val="000000"/>
          <w:vertAlign w:val="superscript"/>
        </w:rPr>
        <w:t>3</w:t>
      </w:r>
      <w:r w:rsidRPr="00BE6B1E">
        <w:rPr>
          <w:bCs/>
          <w:color w:val="000000"/>
        </w:rPr>
        <w:t>,</w:t>
      </w:r>
      <w:r>
        <w:rPr>
          <w:bCs/>
          <w:color w:val="000000"/>
        </w:rPr>
        <w:t xml:space="preserve"> </w:t>
      </w:r>
      <w:r w:rsidR="001520EA">
        <w:rPr>
          <w:bCs/>
          <w:color w:val="000000"/>
        </w:rPr>
        <w:t>Karen Draney</w:t>
      </w:r>
      <w:r w:rsidR="00FC2C55" w:rsidRPr="00BE6B1E">
        <w:rPr>
          <w:bCs/>
          <w:color w:val="000000"/>
          <w:vertAlign w:val="superscript"/>
        </w:rPr>
        <w:t>3</w:t>
      </w:r>
      <w:r w:rsidR="001520EA">
        <w:rPr>
          <w:bCs/>
          <w:color w:val="000000"/>
        </w:rPr>
        <w:t>, Jay Thomas</w:t>
      </w:r>
      <w:r w:rsidR="00FC2C55">
        <w:rPr>
          <w:bCs/>
          <w:color w:val="000000"/>
          <w:vertAlign w:val="superscript"/>
        </w:rPr>
        <w:t>4</w:t>
      </w:r>
      <w:r w:rsidR="001520EA">
        <w:rPr>
          <w:bCs/>
          <w:color w:val="000000"/>
        </w:rPr>
        <w:t xml:space="preserve">, and Charles </w:t>
      </w:r>
      <w:r w:rsidR="007A3B50">
        <w:rPr>
          <w:bCs/>
          <w:color w:val="000000"/>
        </w:rPr>
        <w:t xml:space="preserve">W. </w:t>
      </w:r>
      <w:r w:rsidR="001520EA">
        <w:rPr>
          <w:bCs/>
          <w:color w:val="000000"/>
        </w:rPr>
        <w:t>Anderson</w:t>
      </w:r>
      <w:r w:rsidR="00FC2C55">
        <w:rPr>
          <w:bCs/>
          <w:color w:val="000000"/>
          <w:vertAlign w:val="superscript"/>
        </w:rPr>
        <w:t>5</w:t>
      </w:r>
    </w:p>
    <w:p w14:paraId="33CE60CA" w14:textId="77777777" w:rsidR="006854E8" w:rsidRPr="00BE6B1E" w:rsidRDefault="006854E8" w:rsidP="002A6470">
      <w:pPr>
        <w:pBdr>
          <w:top w:val="nil"/>
          <w:left w:val="nil"/>
          <w:bottom w:val="nil"/>
          <w:right w:val="nil"/>
          <w:between w:val="nil"/>
        </w:pBdr>
        <w:spacing w:line="480" w:lineRule="auto"/>
        <w:jc w:val="center"/>
        <w:rPr>
          <w:bCs/>
          <w:color w:val="000000"/>
          <w:vertAlign w:val="superscript"/>
        </w:rPr>
      </w:pPr>
      <w:r w:rsidRPr="00BE6B1E">
        <w:rPr>
          <w:bCs/>
          <w:color w:val="000000"/>
          <w:vertAlign w:val="superscript"/>
        </w:rPr>
        <w:t xml:space="preserve">1 </w:t>
      </w:r>
      <w:r w:rsidRPr="00BE6B1E">
        <w:rPr>
          <w:bCs/>
          <w:color w:val="000000"/>
        </w:rPr>
        <w:t>Center for Spatial Data Science, University of Chicago</w:t>
      </w:r>
    </w:p>
    <w:p w14:paraId="0F63EDC4" w14:textId="77777777" w:rsidR="006854E8" w:rsidRPr="00BE6B1E" w:rsidRDefault="006854E8" w:rsidP="002A6470">
      <w:pPr>
        <w:pBdr>
          <w:top w:val="nil"/>
          <w:left w:val="nil"/>
          <w:bottom w:val="nil"/>
          <w:right w:val="nil"/>
          <w:between w:val="nil"/>
        </w:pBdr>
        <w:spacing w:line="480" w:lineRule="auto"/>
        <w:jc w:val="center"/>
        <w:rPr>
          <w:bCs/>
          <w:color w:val="000000"/>
        </w:rPr>
      </w:pPr>
      <w:r w:rsidRPr="00BE6B1E">
        <w:rPr>
          <w:bCs/>
          <w:color w:val="000000"/>
          <w:vertAlign w:val="superscript"/>
        </w:rPr>
        <w:t xml:space="preserve">2 </w:t>
      </w:r>
      <w:r w:rsidR="00B11130" w:rsidRPr="00BE6B1E">
        <w:rPr>
          <w:bCs/>
          <w:color w:val="000000"/>
        </w:rPr>
        <w:t>Department of Counseling, Educational Psychology</w:t>
      </w:r>
      <w:r w:rsidR="00B11130">
        <w:rPr>
          <w:bCs/>
          <w:color w:val="000000"/>
        </w:rPr>
        <w:t>,</w:t>
      </w:r>
      <w:r w:rsidR="00B11130" w:rsidRPr="00BE6B1E">
        <w:rPr>
          <w:bCs/>
          <w:color w:val="000000"/>
        </w:rPr>
        <w:t xml:space="preserve"> and Special Education, Michigan State University</w:t>
      </w:r>
    </w:p>
    <w:p w14:paraId="07A53D84" w14:textId="77777777" w:rsidR="006854E8" w:rsidRPr="00BE6B1E" w:rsidRDefault="006854E8" w:rsidP="002A6470">
      <w:pPr>
        <w:pBdr>
          <w:top w:val="nil"/>
          <w:left w:val="nil"/>
          <w:bottom w:val="nil"/>
          <w:right w:val="nil"/>
          <w:between w:val="nil"/>
        </w:pBdr>
        <w:spacing w:line="480" w:lineRule="auto"/>
        <w:jc w:val="center"/>
        <w:rPr>
          <w:bCs/>
          <w:color w:val="000000"/>
        </w:rPr>
      </w:pPr>
      <w:r w:rsidRPr="00BE6B1E">
        <w:rPr>
          <w:bCs/>
          <w:color w:val="000000"/>
          <w:vertAlign w:val="superscript"/>
        </w:rPr>
        <w:t xml:space="preserve">3 </w:t>
      </w:r>
      <w:r w:rsidR="00904A8E">
        <w:rPr>
          <w:bCs/>
          <w:color w:val="000000"/>
        </w:rPr>
        <w:t>BEA</w:t>
      </w:r>
      <w:r w:rsidR="00762F6B">
        <w:rPr>
          <w:bCs/>
          <w:color w:val="000000"/>
        </w:rPr>
        <w:t>R</w:t>
      </w:r>
      <w:r w:rsidR="00904A8E">
        <w:rPr>
          <w:bCs/>
          <w:color w:val="000000"/>
        </w:rPr>
        <w:t xml:space="preserve"> Center, </w:t>
      </w:r>
      <w:r w:rsidR="00762F6B">
        <w:rPr>
          <w:bCs/>
          <w:color w:val="000000"/>
        </w:rPr>
        <w:t>University of California, Berkeley</w:t>
      </w:r>
    </w:p>
    <w:p w14:paraId="6935A51A" w14:textId="77777777" w:rsidR="006854E8" w:rsidRDefault="006854E8" w:rsidP="002A6470">
      <w:pPr>
        <w:pBdr>
          <w:top w:val="nil"/>
          <w:left w:val="nil"/>
          <w:bottom w:val="nil"/>
          <w:right w:val="nil"/>
          <w:between w:val="nil"/>
        </w:pBdr>
        <w:spacing w:line="480" w:lineRule="auto"/>
        <w:jc w:val="center"/>
        <w:rPr>
          <w:bCs/>
          <w:color w:val="000000"/>
        </w:rPr>
      </w:pPr>
      <w:r w:rsidRPr="00BE6B1E">
        <w:rPr>
          <w:bCs/>
          <w:color w:val="000000"/>
          <w:vertAlign w:val="superscript"/>
        </w:rPr>
        <w:t xml:space="preserve">4 </w:t>
      </w:r>
      <w:r w:rsidR="00344396">
        <w:rPr>
          <w:bCs/>
          <w:color w:val="000000"/>
        </w:rPr>
        <w:t>ACT, Inc</w:t>
      </w:r>
    </w:p>
    <w:p w14:paraId="4A0BC078" w14:textId="77777777" w:rsidR="00344396" w:rsidRDefault="00AA35CE" w:rsidP="002A6470">
      <w:pPr>
        <w:pBdr>
          <w:top w:val="nil"/>
          <w:left w:val="nil"/>
          <w:bottom w:val="nil"/>
          <w:right w:val="nil"/>
          <w:between w:val="nil"/>
        </w:pBdr>
        <w:spacing w:line="480" w:lineRule="auto"/>
        <w:jc w:val="center"/>
        <w:rPr>
          <w:bCs/>
          <w:color w:val="000000"/>
        </w:rPr>
      </w:pPr>
      <w:r>
        <w:rPr>
          <w:bCs/>
          <w:color w:val="000000"/>
          <w:vertAlign w:val="superscript"/>
        </w:rPr>
        <w:t xml:space="preserve">5 </w:t>
      </w:r>
      <w:r w:rsidR="00344396" w:rsidRPr="00BE6B1E">
        <w:rPr>
          <w:bCs/>
          <w:color w:val="000000"/>
        </w:rPr>
        <w:t xml:space="preserve">Department of </w:t>
      </w:r>
      <w:r w:rsidR="00414213">
        <w:rPr>
          <w:bCs/>
          <w:color w:val="000000"/>
        </w:rPr>
        <w:t>Teacher Education</w:t>
      </w:r>
      <w:r w:rsidR="00344396" w:rsidRPr="00BE6B1E">
        <w:rPr>
          <w:bCs/>
          <w:color w:val="000000"/>
        </w:rPr>
        <w:t>, Michigan State University</w:t>
      </w:r>
    </w:p>
    <w:p w14:paraId="3FE39642" w14:textId="77777777" w:rsidR="00762F6B" w:rsidRPr="00BE6B1E" w:rsidRDefault="00762F6B" w:rsidP="002A6470">
      <w:pPr>
        <w:pBdr>
          <w:top w:val="nil"/>
          <w:left w:val="nil"/>
          <w:bottom w:val="nil"/>
          <w:right w:val="nil"/>
          <w:between w:val="nil"/>
        </w:pBdr>
        <w:spacing w:line="480" w:lineRule="auto"/>
        <w:jc w:val="center"/>
        <w:rPr>
          <w:bCs/>
          <w:color w:val="000000"/>
        </w:rPr>
      </w:pPr>
    </w:p>
    <w:p w14:paraId="19083394" w14:textId="77777777" w:rsidR="006854E8" w:rsidRPr="00BE6B1E" w:rsidRDefault="006854E8" w:rsidP="006854E8">
      <w:pPr>
        <w:pBdr>
          <w:top w:val="nil"/>
          <w:left w:val="nil"/>
          <w:bottom w:val="nil"/>
          <w:right w:val="nil"/>
          <w:between w:val="nil"/>
        </w:pBdr>
        <w:jc w:val="center"/>
        <w:rPr>
          <w:bCs/>
          <w:color w:val="000000"/>
        </w:rPr>
      </w:pPr>
    </w:p>
    <w:p w14:paraId="6AAF60D2" w14:textId="77777777" w:rsidR="006854E8" w:rsidRPr="00BE6B1E" w:rsidRDefault="006854E8" w:rsidP="006854E8">
      <w:pPr>
        <w:pBdr>
          <w:top w:val="nil"/>
          <w:left w:val="nil"/>
          <w:bottom w:val="nil"/>
          <w:right w:val="nil"/>
          <w:between w:val="nil"/>
        </w:pBdr>
        <w:rPr>
          <w:bCs/>
          <w:color w:val="000000"/>
        </w:rPr>
      </w:pPr>
    </w:p>
    <w:p w14:paraId="652250FF" w14:textId="77777777" w:rsidR="006854E8" w:rsidRDefault="006854E8" w:rsidP="00F163F4">
      <w:pPr>
        <w:pBdr>
          <w:top w:val="nil"/>
          <w:left w:val="nil"/>
          <w:bottom w:val="nil"/>
          <w:right w:val="nil"/>
          <w:between w:val="nil"/>
        </w:pBdr>
        <w:spacing w:line="480" w:lineRule="auto"/>
        <w:jc w:val="center"/>
        <w:rPr>
          <w:b/>
          <w:color w:val="000000"/>
        </w:rPr>
      </w:pPr>
      <w:r w:rsidRPr="00BE6B1E">
        <w:rPr>
          <w:b/>
          <w:color w:val="000000"/>
        </w:rPr>
        <w:t>Author Note</w:t>
      </w:r>
    </w:p>
    <w:p w14:paraId="708A3860" w14:textId="77777777" w:rsidR="006F5C2C" w:rsidRPr="006F5C2C" w:rsidRDefault="006F5C2C" w:rsidP="00F163F4">
      <w:pPr>
        <w:spacing w:line="480" w:lineRule="auto"/>
        <w:rPr>
          <w:bCs/>
          <w:color w:val="000000"/>
        </w:rPr>
      </w:pPr>
      <w:r w:rsidRPr="006F5C2C">
        <w:rPr>
          <w:bCs/>
          <w:color w:val="000000"/>
        </w:rPr>
        <w:t>This research is supported in part by a grant from the National Science Foundation: Sustaining Responsive and Rigorous Teaching Based on </w:t>
      </w:r>
      <w:r w:rsidRPr="006F5C2C">
        <w:rPr>
          <w:bCs/>
          <w:i/>
          <w:iCs/>
          <w:color w:val="000000"/>
        </w:rPr>
        <w:t>Carbon TIME</w:t>
      </w:r>
      <w:r w:rsidRPr="006F5C2C">
        <w:rPr>
          <w:bCs/>
          <w:color w:val="000000"/>
        </w:rPr>
        <w:t> (NSF 1440988). Any opinions, findings, and conclusions or recommendations expressed in this material are those of the author(s) and do not necessarily reflect the views of the National Science Foundation.</w:t>
      </w:r>
    </w:p>
    <w:p w14:paraId="01A1B0BE" w14:textId="77777777" w:rsidR="00F211FE" w:rsidRPr="002D0384" w:rsidRDefault="006F5C2C" w:rsidP="002D0384">
      <w:pPr>
        <w:spacing w:line="480" w:lineRule="auto"/>
        <w:rPr>
          <w:bCs/>
          <w:color w:val="000000"/>
        </w:rPr>
      </w:pPr>
      <w:r w:rsidRPr="006F5C2C">
        <w:rPr>
          <w:bCs/>
          <w:color w:val="000000"/>
        </w:rPr>
        <w:t>Please visit our website: </w:t>
      </w:r>
      <w:hyperlink r:id="rId11" w:tooltip="https://urldefense.com/v3/__http://carbontime.bscs.org/__;!!BpyFHLRN4TMTrA!vQx_ZmnEGIhC65VtvMYRdk60BVy5_8sNUws0yCGCE_5Ck0T6ejcc1HiEg_lURpr95s99$" w:history="1">
        <w:r w:rsidRPr="006F5C2C">
          <w:rPr>
            <w:rStyle w:val="Hyperlink"/>
            <w:bCs/>
          </w:rPr>
          <w:t>http://carbontime.bscs.org/</w:t>
        </w:r>
      </w:hyperlink>
      <w:r w:rsidR="00F163F4">
        <w:rPr>
          <w:bCs/>
          <w:color w:val="000000"/>
        </w:rPr>
        <w:t>.</w:t>
      </w:r>
      <w:r w:rsidR="00F211FE">
        <w:rPr>
          <w:rFonts w:eastAsia="SimHei"/>
          <w:b/>
        </w:rPr>
        <w:br w:type="page"/>
      </w:r>
    </w:p>
    <w:sdt>
      <w:sdtPr>
        <w:rPr>
          <w:b/>
          <w:bCs/>
        </w:rPr>
        <w:id w:val="429019317"/>
        <w:docPartObj>
          <w:docPartGallery w:val="Table of Contents"/>
          <w:docPartUnique/>
        </w:docPartObj>
      </w:sdtPr>
      <w:sdtEndPr>
        <w:rPr>
          <w:noProof/>
        </w:rPr>
      </w:sdtEndPr>
      <w:sdtContent>
        <w:p w14:paraId="0AE7FE8A" w14:textId="77777777" w:rsidR="00F211FE" w:rsidRPr="00856821" w:rsidRDefault="00F211FE" w:rsidP="00856821">
          <w:pPr>
            <w:spacing w:line="276" w:lineRule="auto"/>
            <w:jc w:val="center"/>
            <w:rPr>
              <w:b/>
              <w:bCs/>
              <w:kern w:val="28"/>
            </w:rPr>
          </w:pPr>
          <w:r w:rsidRPr="00856821">
            <w:rPr>
              <w:b/>
              <w:bCs/>
            </w:rPr>
            <w:t>Table of Contents</w:t>
          </w:r>
        </w:p>
        <w:p w14:paraId="011CBC68" w14:textId="77777777" w:rsidR="00F211FE" w:rsidRPr="00856821" w:rsidRDefault="00F211FE"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r w:rsidRPr="00856821">
            <w:rPr>
              <w:rFonts w:ascii="Times New Roman" w:hAnsi="Times New Roman"/>
              <w:b w:val="0"/>
              <w:bCs w:val="0"/>
            </w:rPr>
            <w:fldChar w:fldCharType="begin"/>
          </w:r>
          <w:r w:rsidRPr="00856821">
            <w:rPr>
              <w:rFonts w:ascii="Times New Roman" w:hAnsi="Times New Roman"/>
            </w:rPr>
            <w:instrText xml:space="preserve"> TOC \o "1-3" \h \z \u </w:instrText>
          </w:r>
          <w:r w:rsidRPr="00856821">
            <w:rPr>
              <w:rFonts w:ascii="Times New Roman" w:hAnsi="Times New Roman"/>
              <w:b w:val="0"/>
              <w:bCs w:val="0"/>
            </w:rPr>
            <w:fldChar w:fldCharType="separate"/>
          </w:r>
          <w:hyperlink w:anchor="_Toc71207800" w:history="1">
            <w:r w:rsidRPr="00856821">
              <w:rPr>
                <w:rStyle w:val="Hyperlink"/>
                <w:rFonts w:ascii="Times New Roman" w:eastAsia="SimHei" w:hAnsi="Times New Roman"/>
                <w:noProof/>
                <w:lang w:eastAsia="zh-CN"/>
              </w:rPr>
              <w:t>Abstract</w:t>
            </w:r>
            <w:r w:rsidRPr="00856821">
              <w:rPr>
                <w:rFonts w:ascii="Times New Roman" w:hAnsi="Times New Roman"/>
                <w:noProof/>
                <w:webHidden/>
              </w:rPr>
              <w:tab/>
            </w:r>
            <w:r w:rsidRPr="00856821">
              <w:rPr>
                <w:rFonts w:ascii="Times New Roman" w:hAnsi="Times New Roman"/>
                <w:noProof/>
                <w:webHidden/>
              </w:rPr>
              <w:fldChar w:fldCharType="begin"/>
            </w:r>
            <w:r w:rsidRPr="00856821">
              <w:rPr>
                <w:rFonts w:ascii="Times New Roman" w:hAnsi="Times New Roman"/>
                <w:noProof/>
                <w:webHidden/>
              </w:rPr>
              <w:instrText xml:space="preserve"> PAGEREF _Toc71207800 \h </w:instrText>
            </w:r>
            <w:r w:rsidRPr="00856821">
              <w:rPr>
                <w:rFonts w:ascii="Times New Roman" w:hAnsi="Times New Roman"/>
                <w:noProof/>
                <w:webHidden/>
              </w:rPr>
            </w:r>
            <w:r w:rsidRPr="00856821">
              <w:rPr>
                <w:rFonts w:ascii="Times New Roman" w:hAnsi="Times New Roman"/>
                <w:noProof/>
                <w:webHidden/>
              </w:rPr>
              <w:fldChar w:fldCharType="separate"/>
            </w:r>
            <w:r w:rsidR="002D0384">
              <w:rPr>
                <w:rFonts w:ascii="Times New Roman" w:hAnsi="Times New Roman"/>
                <w:noProof/>
                <w:webHidden/>
              </w:rPr>
              <w:t>3</w:t>
            </w:r>
            <w:r w:rsidRPr="00856821">
              <w:rPr>
                <w:rFonts w:ascii="Times New Roman" w:hAnsi="Times New Roman"/>
                <w:noProof/>
                <w:webHidden/>
              </w:rPr>
              <w:fldChar w:fldCharType="end"/>
            </w:r>
          </w:hyperlink>
        </w:p>
        <w:p w14:paraId="46748975"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01" w:history="1">
            <w:r w:rsidR="00F211FE" w:rsidRPr="00856821">
              <w:rPr>
                <w:rStyle w:val="Hyperlink"/>
                <w:rFonts w:ascii="Times New Roman" w:hAnsi="Times New Roman"/>
                <w:noProof/>
              </w:rPr>
              <w:t>Introduction and Literature Review</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_Toc71207801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4</w:t>
            </w:r>
            <w:r w:rsidR="00F211FE" w:rsidRPr="00856821">
              <w:rPr>
                <w:rFonts w:ascii="Times New Roman" w:hAnsi="Times New Roman"/>
                <w:noProof/>
                <w:webHidden/>
              </w:rPr>
              <w:fldChar w:fldCharType="end"/>
            </w:r>
          </w:hyperlink>
        </w:p>
        <w:p w14:paraId="7FCA1B04"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2" w:history="1">
            <w:r w:rsidR="00F211FE" w:rsidRPr="00856821">
              <w:rPr>
                <w:rStyle w:val="Hyperlink"/>
                <w:rFonts w:ascii="Times New Roman" w:hAnsi="Times New Roman"/>
                <w:noProof/>
                <w:sz w:val="24"/>
                <w:szCs w:val="24"/>
              </w:rPr>
              <w:t>Standards-based Reform Efforts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_Toc71207802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4</w:t>
            </w:r>
            <w:r w:rsidR="00F211FE" w:rsidRPr="00856821">
              <w:rPr>
                <w:rFonts w:ascii="Times New Roman" w:hAnsi="Times New Roman"/>
                <w:noProof/>
                <w:webHidden/>
                <w:sz w:val="24"/>
                <w:szCs w:val="24"/>
              </w:rPr>
              <w:fldChar w:fldCharType="end"/>
            </w:r>
          </w:hyperlink>
        </w:p>
        <w:p w14:paraId="077B5D6C"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3" w:history="1">
            <w:r w:rsidR="00F211FE" w:rsidRPr="00856821">
              <w:rPr>
                <w:rStyle w:val="Hyperlink"/>
                <w:rFonts w:ascii="Times New Roman" w:hAnsi="Times New Roman"/>
                <w:noProof/>
                <w:sz w:val="24"/>
                <w:szCs w:val="24"/>
                <w:lang w:eastAsia="zh-CN"/>
              </w:rPr>
              <w:t>Design-based Implementation Research</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_Toc71207803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6</w:t>
            </w:r>
            <w:r w:rsidR="00F211FE" w:rsidRPr="00856821">
              <w:rPr>
                <w:rFonts w:ascii="Times New Roman" w:hAnsi="Times New Roman"/>
                <w:noProof/>
                <w:webHidden/>
                <w:sz w:val="24"/>
                <w:szCs w:val="24"/>
              </w:rPr>
              <w:fldChar w:fldCharType="end"/>
            </w:r>
          </w:hyperlink>
        </w:p>
        <w:p w14:paraId="22BB9A2E"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4" w:history="1">
            <w:r w:rsidR="00F211FE" w:rsidRPr="00856821">
              <w:rPr>
                <w:rStyle w:val="Hyperlink"/>
                <w:rFonts w:ascii="Times New Roman" w:hAnsi="Times New Roman"/>
                <w:i/>
                <w:iCs/>
                <w:noProof/>
                <w:sz w:val="24"/>
                <w:szCs w:val="24"/>
              </w:rPr>
              <w:t>Carbon TIME</w:t>
            </w:r>
            <w:r w:rsidR="00F211FE" w:rsidRPr="00856821">
              <w:rPr>
                <w:rStyle w:val="Hyperlink"/>
                <w:rFonts w:ascii="Times New Roman" w:hAnsi="Times New Roman"/>
                <w:noProof/>
                <w:sz w:val="24"/>
                <w:szCs w:val="24"/>
              </w:rPr>
              <w:t xml:space="preserve"> as Design-based Implementation Research</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_Toc71207804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10</w:t>
            </w:r>
            <w:r w:rsidR="00F211FE" w:rsidRPr="00856821">
              <w:rPr>
                <w:rFonts w:ascii="Times New Roman" w:hAnsi="Times New Roman"/>
                <w:noProof/>
                <w:webHidden/>
                <w:sz w:val="24"/>
                <w:szCs w:val="24"/>
              </w:rPr>
              <w:fldChar w:fldCharType="end"/>
            </w:r>
          </w:hyperlink>
        </w:p>
        <w:p w14:paraId="1216950E"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05" w:history="1">
            <w:r w:rsidR="00F211FE" w:rsidRPr="00856821">
              <w:rPr>
                <w:rStyle w:val="Hyperlink"/>
                <w:rFonts w:ascii="Times New Roman" w:hAnsi="Times New Roman"/>
                <w:noProof/>
                <w:lang w:eastAsia="zh-CN"/>
              </w:rPr>
              <w:t>Research Questions</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_Toc71207805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11</w:t>
            </w:r>
            <w:r w:rsidR="00F211FE" w:rsidRPr="00856821">
              <w:rPr>
                <w:rFonts w:ascii="Times New Roman" w:hAnsi="Times New Roman"/>
                <w:noProof/>
                <w:webHidden/>
              </w:rPr>
              <w:fldChar w:fldCharType="end"/>
            </w:r>
          </w:hyperlink>
        </w:p>
        <w:p w14:paraId="0760F25C"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06" w:history="1">
            <w:r w:rsidR="00F211FE" w:rsidRPr="00856821">
              <w:rPr>
                <w:rStyle w:val="Hyperlink"/>
                <w:rFonts w:ascii="Times New Roman" w:hAnsi="Times New Roman"/>
                <w:noProof/>
              </w:rPr>
              <w:t>Methods</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_Toc71207806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13</w:t>
            </w:r>
            <w:r w:rsidR="00F211FE" w:rsidRPr="00856821">
              <w:rPr>
                <w:rFonts w:ascii="Times New Roman" w:hAnsi="Times New Roman"/>
                <w:noProof/>
                <w:webHidden/>
              </w:rPr>
              <w:fldChar w:fldCharType="end"/>
            </w:r>
          </w:hyperlink>
        </w:p>
        <w:p w14:paraId="2D3E76B5"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7" w:history="1">
            <w:r w:rsidR="00F211FE" w:rsidRPr="00856821">
              <w:rPr>
                <w:rStyle w:val="Hyperlink"/>
                <w:rFonts w:ascii="Times New Roman" w:hAnsi="Times New Roman"/>
                <w:noProof/>
                <w:sz w:val="24"/>
                <w:szCs w:val="24"/>
              </w:rPr>
              <w:t>Participants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_Toc71207807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13</w:t>
            </w:r>
            <w:r w:rsidR="00F211FE" w:rsidRPr="00856821">
              <w:rPr>
                <w:rFonts w:ascii="Times New Roman" w:hAnsi="Times New Roman"/>
                <w:noProof/>
                <w:webHidden/>
                <w:sz w:val="24"/>
                <w:szCs w:val="24"/>
              </w:rPr>
              <w:fldChar w:fldCharType="end"/>
            </w:r>
          </w:hyperlink>
        </w:p>
        <w:p w14:paraId="505CDBF0"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8" w:history="1">
            <w:r w:rsidR="00F211FE" w:rsidRPr="00856821">
              <w:rPr>
                <w:rStyle w:val="Hyperlink"/>
                <w:rFonts w:ascii="Times New Roman" w:hAnsi="Times New Roman"/>
                <w:noProof/>
                <w:sz w:val="24"/>
                <w:szCs w:val="24"/>
              </w:rPr>
              <w:t>Data Collection</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_Toc71207808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14</w:t>
            </w:r>
            <w:r w:rsidR="00F211FE" w:rsidRPr="00856821">
              <w:rPr>
                <w:rFonts w:ascii="Times New Roman" w:hAnsi="Times New Roman"/>
                <w:noProof/>
                <w:webHidden/>
                <w:sz w:val="24"/>
                <w:szCs w:val="24"/>
              </w:rPr>
              <w:fldChar w:fldCharType="end"/>
            </w:r>
          </w:hyperlink>
        </w:p>
        <w:p w14:paraId="156E6C65"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09" w:history="1">
            <w:r w:rsidR="00F211FE" w:rsidRPr="00856821">
              <w:rPr>
                <w:rStyle w:val="Hyperlink"/>
                <w:rFonts w:ascii="Times New Roman" w:hAnsi="Times New Roman"/>
                <w:noProof/>
                <w:sz w:val="24"/>
                <w:szCs w:val="24"/>
              </w:rPr>
              <w:t>Validity and Reliability of Assessments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_Toc71207809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15</w:t>
            </w:r>
            <w:r w:rsidR="00F211FE" w:rsidRPr="00856821">
              <w:rPr>
                <w:rFonts w:ascii="Times New Roman" w:hAnsi="Times New Roman"/>
                <w:noProof/>
                <w:webHidden/>
                <w:sz w:val="24"/>
                <w:szCs w:val="24"/>
              </w:rPr>
              <w:fldChar w:fldCharType="end"/>
            </w:r>
          </w:hyperlink>
        </w:p>
        <w:p w14:paraId="484108E0"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10" w:history="1">
            <w:r w:rsidR="00F211FE" w:rsidRPr="00856821">
              <w:rPr>
                <w:rStyle w:val="Hyperlink"/>
                <w:rFonts w:ascii="Times New Roman" w:hAnsi="Times New Roman"/>
                <w:noProof/>
                <w:sz w:val="24"/>
                <w:szCs w:val="24"/>
              </w:rPr>
              <w:t>Datasets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_Toc71207810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18</w:t>
            </w:r>
            <w:r w:rsidR="00F211FE" w:rsidRPr="00856821">
              <w:rPr>
                <w:rFonts w:ascii="Times New Roman" w:hAnsi="Times New Roman"/>
                <w:noProof/>
                <w:webHidden/>
                <w:sz w:val="24"/>
                <w:szCs w:val="24"/>
              </w:rPr>
              <w:fldChar w:fldCharType="end"/>
            </w:r>
          </w:hyperlink>
        </w:p>
        <w:p w14:paraId="01FE5D55" w14:textId="77777777" w:rsidR="00F211FE" w:rsidRPr="00856821" w:rsidRDefault="009A7DB6" w:rsidP="002D0384">
          <w:pPr>
            <w:pStyle w:val="TOC3"/>
            <w:rPr>
              <w:rFonts w:eastAsiaTheme="minorEastAsia"/>
              <w:noProof/>
              <w:kern w:val="2"/>
              <w:lang w:eastAsia="zh-CN"/>
            </w:rPr>
          </w:pPr>
          <w:hyperlink w:anchor="_Toc71207811" w:history="1">
            <w:r w:rsidR="00F211FE" w:rsidRPr="00856821">
              <w:rPr>
                <w:rStyle w:val="Hyperlink"/>
                <w:rFonts w:ascii="Times New Roman" w:hAnsi="Times New Roman"/>
                <w:noProof/>
                <w:sz w:val="24"/>
                <w:szCs w:val="24"/>
              </w:rPr>
              <w:t>Selection of Students and Teachers</w:t>
            </w:r>
            <w:r w:rsidR="00F211FE" w:rsidRPr="00856821">
              <w:rPr>
                <w:noProof/>
                <w:webHidden/>
              </w:rPr>
              <w:tab/>
            </w:r>
            <w:r w:rsidR="00F211FE" w:rsidRPr="00856821">
              <w:rPr>
                <w:noProof/>
                <w:webHidden/>
              </w:rPr>
              <w:fldChar w:fldCharType="begin"/>
            </w:r>
            <w:r w:rsidR="00F211FE" w:rsidRPr="00856821">
              <w:rPr>
                <w:noProof/>
                <w:webHidden/>
              </w:rPr>
              <w:instrText xml:space="preserve"> PAGEREF _Toc71207811 \h </w:instrText>
            </w:r>
            <w:r w:rsidR="00F211FE" w:rsidRPr="00856821">
              <w:rPr>
                <w:noProof/>
                <w:webHidden/>
              </w:rPr>
            </w:r>
            <w:r w:rsidR="00F211FE" w:rsidRPr="00856821">
              <w:rPr>
                <w:noProof/>
                <w:webHidden/>
              </w:rPr>
              <w:fldChar w:fldCharType="separate"/>
            </w:r>
            <w:r w:rsidR="002D0384">
              <w:rPr>
                <w:noProof/>
                <w:webHidden/>
              </w:rPr>
              <w:t>18</w:t>
            </w:r>
            <w:r w:rsidR="00F211FE" w:rsidRPr="00856821">
              <w:rPr>
                <w:noProof/>
                <w:webHidden/>
              </w:rPr>
              <w:fldChar w:fldCharType="end"/>
            </w:r>
          </w:hyperlink>
        </w:p>
        <w:p w14:paraId="164F4532" w14:textId="77777777" w:rsidR="00F211FE" w:rsidRPr="00856821" w:rsidRDefault="009A7DB6" w:rsidP="002D0384">
          <w:pPr>
            <w:pStyle w:val="TOC3"/>
            <w:rPr>
              <w:rFonts w:eastAsiaTheme="minorEastAsia"/>
              <w:noProof/>
              <w:kern w:val="2"/>
              <w:lang w:eastAsia="zh-CN"/>
            </w:rPr>
          </w:pPr>
          <w:hyperlink w:anchor="_Toc71207812" w:history="1">
            <w:r w:rsidR="00F211FE" w:rsidRPr="00856821">
              <w:rPr>
                <w:rStyle w:val="Hyperlink"/>
                <w:rFonts w:ascii="Times New Roman" w:hAnsi="Times New Roman"/>
                <w:noProof/>
                <w:sz w:val="24"/>
                <w:szCs w:val="24"/>
              </w:rPr>
              <w:t>Selection of Posttest Data</w:t>
            </w:r>
            <w:r w:rsidR="00F211FE" w:rsidRPr="00856821">
              <w:rPr>
                <w:noProof/>
                <w:webHidden/>
              </w:rPr>
              <w:tab/>
            </w:r>
            <w:r w:rsidR="00F211FE" w:rsidRPr="00856821">
              <w:rPr>
                <w:noProof/>
                <w:webHidden/>
              </w:rPr>
              <w:fldChar w:fldCharType="begin"/>
            </w:r>
            <w:r w:rsidR="00F211FE" w:rsidRPr="00856821">
              <w:rPr>
                <w:noProof/>
                <w:webHidden/>
              </w:rPr>
              <w:instrText xml:space="preserve"> PAGEREF _Toc71207812 \h </w:instrText>
            </w:r>
            <w:r w:rsidR="00F211FE" w:rsidRPr="00856821">
              <w:rPr>
                <w:noProof/>
                <w:webHidden/>
              </w:rPr>
            </w:r>
            <w:r w:rsidR="00F211FE" w:rsidRPr="00856821">
              <w:rPr>
                <w:noProof/>
                <w:webHidden/>
              </w:rPr>
              <w:fldChar w:fldCharType="separate"/>
            </w:r>
            <w:r w:rsidR="002D0384">
              <w:rPr>
                <w:noProof/>
                <w:webHidden/>
              </w:rPr>
              <w:t>19</w:t>
            </w:r>
            <w:r w:rsidR="00F211FE" w:rsidRPr="00856821">
              <w:rPr>
                <w:noProof/>
                <w:webHidden/>
              </w:rPr>
              <w:fldChar w:fldCharType="end"/>
            </w:r>
          </w:hyperlink>
        </w:p>
        <w:p w14:paraId="7A1E554C"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13" w:history="1">
            <w:r w:rsidR="00F211FE" w:rsidRPr="00856821">
              <w:rPr>
                <w:rStyle w:val="Hyperlink"/>
                <w:rFonts w:ascii="Times New Roman" w:hAnsi="Times New Roman"/>
                <w:noProof/>
                <w:sz w:val="24"/>
                <w:szCs w:val="24"/>
              </w:rPr>
              <w:t>Data Analysis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_Toc71207813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20</w:t>
            </w:r>
            <w:r w:rsidR="00F211FE" w:rsidRPr="00856821">
              <w:rPr>
                <w:rFonts w:ascii="Times New Roman" w:hAnsi="Times New Roman"/>
                <w:noProof/>
                <w:webHidden/>
                <w:sz w:val="24"/>
                <w:szCs w:val="24"/>
              </w:rPr>
              <w:fldChar w:fldCharType="end"/>
            </w:r>
          </w:hyperlink>
        </w:p>
        <w:p w14:paraId="78BB360C" w14:textId="77777777" w:rsidR="00F211FE" w:rsidRPr="00856821" w:rsidRDefault="009A7DB6" w:rsidP="002D0384">
          <w:pPr>
            <w:pStyle w:val="TOC3"/>
            <w:rPr>
              <w:rFonts w:eastAsiaTheme="minorEastAsia"/>
              <w:noProof/>
              <w:kern w:val="2"/>
              <w:lang w:eastAsia="zh-CN"/>
            </w:rPr>
          </w:pPr>
          <w:hyperlink w:anchor="_Toc71207814" w:history="1">
            <w:r w:rsidR="00F211FE" w:rsidRPr="00856821">
              <w:rPr>
                <w:rStyle w:val="Hyperlink"/>
                <w:rFonts w:ascii="Times New Roman" w:hAnsi="Times New Roman"/>
                <w:noProof/>
                <w:sz w:val="24"/>
                <w:szCs w:val="24"/>
              </w:rPr>
              <w:t xml:space="preserve">Research Question 1a: Effects of </w:t>
            </w:r>
            <w:r w:rsidR="00F211FE" w:rsidRPr="002D0384">
              <w:rPr>
                <w:rStyle w:val="Hyperlink"/>
                <w:rFonts w:ascii="Times New Roman" w:hAnsi="Times New Roman"/>
                <w:i/>
                <w:iCs/>
                <w:noProof/>
                <w:sz w:val="24"/>
                <w:szCs w:val="24"/>
              </w:rPr>
              <w:t>Carbon TIME</w:t>
            </w:r>
            <w:r w:rsidR="00F211FE" w:rsidRPr="00856821">
              <w:rPr>
                <w:rStyle w:val="Hyperlink"/>
                <w:rFonts w:ascii="Times New Roman" w:hAnsi="Times New Roman"/>
                <w:noProof/>
                <w:sz w:val="24"/>
                <w:szCs w:val="24"/>
              </w:rPr>
              <w:t xml:space="preserve"> Units</w:t>
            </w:r>
            <w:r w:rsidR="00F211FE" w:rsidRPr="00856821">
              <w:rPr>
                <w:noProof/>
                <w:webHidden/>
              </w:rPr>
              <w:tab/>
            </w:r>
            <w:r w:rsidR="00F211FE" w:rsidRPr="00856821">
              <w:rPr>
                <w:noProof/>
                <w:webHidden/>
              </w:rPr>
              <w:fldChar w:fldCharType="begin"/>
            </w:r>
            <w:r w:rsidR="00F211FE" w:rsidRPr="00856821">
              <w:rPr>
                <w:noProof/>
                <w:webHidden/>
              </w:rPr>
              <w:instrText xml:space="preserve"> PAGEREF _Toc71207814 \h </w:instrText>
            </w:r>
            <w:r w:rsidR="00F211FE" w:rsidRPr="00856821">
              <w:rPr>
                <w:noProof/>
                <w:webHidden/>
              </w:rPr>
            </w:r>
            <w:r w:rsidR="00F211FE" w:rsidRPr="00856821">
              <w:rPr>
                <w:noProof/>
                <w:webHidden/>
              </w:rPr>
              <w:fldChar w:fldCharType="separate"/>
            </w:r>
            <w:r w:rsidR="002D0384">
              <w:rPr>
                <w:noProof/>
                <w:webHidden/>
              </w:rPr>
              <w:t>20</w:t>
            </w:r>
            <w:r w:rsidR="00F211FE" w:rsidRPr="00856821">
              <w:rPr>
                <w:noProof/>
                <w:webHidden/>
              </w:rPr>
              <w:fldChar w:fldCharType="end"/>
            </w:r>
          </w:hyperlink>
        </w:p>
        <w:p w14:paraId="41156ADD" w14:textId="77777777" w:rsidR="00F211FE" w:rsidRPr="00856821" w:rsidRDefault="009A7DB6" w:rsidP="002D0384">
          <w:pPr>
            <w:pStyle w:val="TOC3"/>
            <w:rPr>
              <w:rFonts w:eastAsiaTheme="minorEastAsia"/>
              <w:noProof/>
              <w:kern w:val="2"/>
              <w:lang w:eastAsia="zh-CN"/>
            </w:rPr>
          </w:pPr>
          <w:hyperlink w:anchor="_Toc71207815" w:history="1">
            <w:r w:rsidR="00F211FE" w:rsidRPr="00856821">
              <w:rPr>
                <w:rStyle w:val="Hyperlink"/>
                <w:rFonts w:ascii="Times New Roman" w:hAnsi="Times New Roman"/>
                <w:noProof/>
                <w:sz w:val="24"/>
                <w:szCs w:val="24"/>
              </w:rPr>
              <w:t>Other Research Questions: Hierarchical Linear Models</w:t>
            </w:r>
            <w:r w:rsidR="00F211FE" w:rsidRPr="00856821">
              <w:rPr>
                <w:noProof/>
                <w:webHidden/>
              </w:rPr>
              <w:tab/>
            </w:r>
            <w:r w:rsidR="00F211FE" w:rsidRPr="00856821">
              <w:rPr>
                <w:noProof/>
                <w:webHidden/>
              </w:rPr>
              <w:fldChar w:fldCharType="begin"/>
            </w:r>
            <w:r w:rsidR="00F211FE" w:rsidRPr="00856821">
              <w:rPr>
                <w:noProof/>
                <w:webHidden/>
              </w:rPr>
              <w:instrText xml:space="preserve"> PAGEREF _Toc71207815 \h </w:instrText>
            </w:r>
            <w:r w:rsidR="00F211FE" w:rsidRPr="00856821">
              <w:rPr>
                <w:noProof/>
                <w:webHidden/>
              </w:rPr>
            </w:r>
            <w:r w:rsidR="00F211FE" w:rsidRPr="00856821">
              <w:rPr>
                <w:noProof/>
                <w:webHidden/>
              </w:rPr>
              <w:fldChar w:fldCharType="separate"/>
            </w:r>
            <w:r w:rsidR="002D0384">
              <w:rPr>
                <w:noProof/>
                <w:webHidden/>
              </w:rPr>
              <w:t>21</w:t>
            </w:r>
            <w:r w:rsidR="00F211FE" w:rsidRPr="00856821">
              <w:rPr>
                <w:noProof/>
                <w:webHidden/>
              </w:rPr>
              <w:fldChar w:fldCharType="end"/>
            </w:r>
          </w:hyperlink>
        </w:p>
        <w:p w14:paraId="6DB1678A" w14:textId="77777777" w:rsidR="00F211FE" w:rsidRPr="00856821" w:rsidRDefault="009A7DB6" w:rsidP="002D0384">
          <w:pPr>
            <w:pStyle w:val="TOC3"/>
            <w:rPr>
              <w:rFonts w:eastAsiaTheme="minorEastAsia"/>
              <w:noProof/>
              <w:kern w:val="2"/>
              <w:lang w:eastAsia="zh-CN"/>
            </w:rPr>
          </w:pPr>
          <w:hyperlink w:anchor="_Toc71207816" w:history="1">
            <w:r w:rsidR="00F211FE" w:rsidRPr="00856821">
              <w:rPr>
                <w:rStyle w:val="Hyperlink"/>
                <w:rFonts w:ascii="Times New Roman" w:hAnsi="Times New Roman"/>
                <w:noProof/>
                <w:sz w:val="24"/>
                <w:szCs w:val="24"/>
              </w:rPr>
              <w:t>Robustness Analysis</w:t>
            </w:r>
            <w:r w:rsidR="00F211FE" w:rsidRPr="00856821">
              <w:rPr>
                <w:noProof/>
                <w:webHidden/>
              </w:rPr>
              <w:tab/>
            </w:r>
            <w:r w:rsidR="00F211FE" w:rsidRPr="00856821">
              <w:rPr>
                <w:noProof/>
                <w:webHidden/>
              </w:rPr>
              <w:fldChar w:fldCharType="begin"/>
            </w:r>
            <w:r w:rsidR="00F211FE" w:rsidRPr="00856821">
              <w:rPr>
                <w:noProof/>
                <w:webHidden/>
              </w:rPr>
              <w:instrText xml:space="preserve"> PAGEREF _Toc71207816 \h </w:instrText>
            </w:r>
            <w:r w:rsidR="00F211FE" w:rsidRPr="00856821">
              <w:rPr>
                <w:noProof/>
                <w:webHidden/>
              </w:rPr>
            </w:r>
            <w:r w:rsidR="00F211FE" w:rsidRPr="00856821">
              <w:rPr>
                <w:noProof/>
                <w:webHidden/>
              </w:rPr>
              <w:fldChar w:fldCharType="separate"/>
            </w:r>
            <w:r w:rsidR="002D0384">
              <w:rPr>
                <w:noProof/>
                <w:webHidden/>
              </w:rPr>
              <w:t>26</w:t>
            </w:r>
            <w:r w:rsidR="00F211FE" w:rsidRPr="00856821">
              <w:rPr>
                <w:noProof/>
                <w:webHidden/>
              </w:rPr>
              <w:fldChar w:fldCharType="end"/>
            </w:r>
          </w:hyperlink>
        </w:p>
        <w:p w14:paraId="49DE0F5F"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17" w:history="1">
            <w:r w:rsidR="00F211FE" w:rsidRPr="00856821">
              <w:rPr>
                <w:rStyle w:val="Hyperlink"/>
                <w:rFonts w:ascii="Times New Roman" w:hAnsi="Times New Roman"/>
                <w:noProof/>
              </w:rPr>
              <w:t>Findings</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_Toc71207817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26</w:t>
            </w:r>
            <w:r w:rsidR="00F211FE" w:rsidRPr="00856821">
              <w:rPr>
                <w:rFonts w:ascii="Times New Roman" w:hAnsi="Times New Roman"/>
                <w:noProof/>
                <w:webHidden/>
              </w:rPr>
              <w:fldChar w:fldCharType="end"/>
            </w:r>
          </w:hyperlink>
        </w:p>
        <w:p w14:paraId="67007B43"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18" w:history="1">
            <w:r w:rsidR="00F211FE" w:rsidRPr="00856821">
              <w:rPr>
                <w:rStyle w:val="Hyperlink"/>
                <w:rFonts w:ascii="Times New Roman" w:hAnsi="Times New Roman"/>
                <w:noProof/>
                <w:sz w:val="24"/>
                <w:szCs w:val="24"/>
              </w:rPr>
              <w:t xml:space="preserve">Findings About the Effects of the </w:t>
            </w:r>
            <w:r w:rsidR="00F211FE" w:rsidRPr="00856821">
              <w:rPr>
                <w:rStyle w:val="Hyperlink"/>
                <w:rFonts w:ascii="Times New Roman" w:hAnsi="Times New Roman"/>
                <w:i/>
                <w:iCs/>
                <w:noProof/>
                <w:sz w:val="24"/>
                <w:szCs w:val="24"/>
              </w:rPr>
              <w:t>Carbon TIME</w:t>
            </w:r>
            <w:r w:rsidR="00F211FE" w:rsidRPr="00856821">
              <w:rPr>
                <w:rStyle w:val="Hyperlink"/>
                <w:rFonts w:ascii="Times New Roman" w:hAnsi="Times New Roman"/>
                <w:noProof/>
                <w:sz w:val="24"/>
                <w:szCs w:val="24"/>
              </w:rPr>
              <w:t xml:space="preserve"> Units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_Toc71207818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26</w:t>
            </w:r>
            <w:r w:rsidR="00F211FE" w:rsidRPr="00856821">
              <w:rPr>
                <w:rFonts w:ascii="Times New Roman" w:hAnsi="Times New Roman"/>
                <w:noProof/>
                <w:webHidden/>
                <w:sz w:val="24"/>
                <w:szCs w:val="24"/>
              </w:rPr>
              <w:fldChar w:fldCharType="end"/>
            </w:r>
          </w:hyperlink>
        </w:p>
        <w:p w14:paraId="1885ABAF"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19" w:history="1">
            <w:r w:rsidR="00F211FE" w:rsidRPr="00856821">
              <w:rPr>
                <w:rStyle w:val="Hyperlink"/>
                <w:rFonts w:ascii="Times New Roman" w:hAnsi="Times New Roman"/>
                <w:noProof/>
                <w:sz w:val="24"/>
                <w:szCs w:val="24"/>
              </w:rPr>
              <w:t>Findings about Factors Influencing Variation in Student Learning Gains</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_Toc71207819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35</w:t>
            </w:r>
            <w:r w:rsidR="00F211FE" w:rsidRPr="00856821">
              <w:rPr>
                <w:rFonts w:ascii="Times New Roman" w:hAnsi="Times New Roman"/>
                <w:noProof/>
                <w:webHidden/>
                <w:sz w:val="24"/>
                <w:szCs w:val="24"/>
              </w:rPr>
              <w:fldChar w:fldCharType="end"/>
            </w:r>
          </w:hyperlink>
        </w:p>
        <w:p w14:paraId="5B181318" w14:textId="77777777" w:rsidR="00F211FE" w:rsidRPr="00856821" w:rsidRDefault="009A7DB6" w:rsidP="00856821">
          <w:pPr>
            <w:pStyle w:val="TOC2"/>
            <w:tabs>
              <w:tab w:val="right" w:leader="dot" w:pos="9350"/>
            </w:tabs>
            <w:spacing w:line="276" w:lineRule="auto"/>
            <w:rPr>
              <w:rFonts w:ascii="Times New Roman" w:eastAsiaTheme="minorEastAsia" w:hAnsi="Times New Roman"/>
              <w:b w:val="0"/>
              <w:bCs w:val="0"/>
              <w:noProof/>
              <w:kern w:val="2"/>
              <w:sz w:val="24"/>
              <w:szCs w:val="24"/>
              <w:lang w:eastAsia="zh-CN"/>
            </w:rPr>
          </w:pPr>
          <w:hyperlink w:anchor="_Toc71207820" w:history="1">
            <w:r w:rsidR="00F211FE" w:rsidRPr="00856821">
              <w:rPr>
                <w:rStyle w:val="Hyperlink"/>
                <w:rFonts w:ascii="Times New Roman" w:hAnsi="Times New Roman"/>
                <w:noProof/>
                <w:sz w:val="24"/>
                <w:szCs w:val="24"/>
              </w:rPr>
              <w:t>Findings about Changes in Student Learning over Time</w:t>
            </w:r>
            <w:r w:rsidR="00F211FE" w:rsidRPr="00856821">
              <w:rPr>
                <w:rFonts w:ascii="Times New Roman" w:hAnsi="Times New Roman"/>
                <w:noProof/>
                <w:webHidden/>
                <w:sz w:val="24"/>
                <w:szCs w:val="24"/>
              </w:rPr>
              <w:tab/>
            </w:r>
            <w:r w:rsidR="00F211FE" w:rsidRPr="00856821">
              <w:rPr>
                <w:rFonts w:ascii="Times New Roman" w:hAnsi="Times New Roman"/>
                <w:noProof/>
                <w:webHidden/>
                <w:sz w:val="24"/>
                <w:szCs w:val="24"/>
              </w:rPr>
              <w:fldChar w:fldCharType="begin"/>
            </w:r>
            <w:r w:rsidR="00F211FE" w:rsidRPr="00856821">
              <w:rPr>
                <w:rFonts w:ascii="Times New Roman" w:hAnsi="Times New Roman"/>
                <w:noProof/>
                <w:webHidden/>
                <w:sz w:val="24"/>
                <w:szCs w:val="24"/>
              </w:rPr>
              <w:instrText xml:space="preserve"> PAGEREF _Toc71207820 \h </w:instrText>
            </w:r>
            <w:r w:rsidR="00F211FE" w:rsidRPr="00856821">
              <w:rPr>
                <w:rFonts w:ascii="Times New Roman" w:hAnsi="Times New Roman"/>
                <w:noProof/>
                <w:webHidden/>
                <w:sz w:val="24"/>
                <w:szCs w:val="24"/>
              </w:rPr>
            </w:r>
            <w:r w:rsidR="00F211FE" w:rsidRPr="00856821">
              <w:rPr>
                <w:rFonts w:ascii="Times New Roman" w:hAnsi="Times New Roman"/>
                <w:noProof/>
                <w:webHidden/>
                <w:sz w:val="24"/>
                <w:szCs w:val="24"/>
              </w:rPr>
              <w:fldChar w:fldCharType="separate"/>
            </w:r>
            <w:r w:rsidR="002D0384">
              <w:rPr>
                <w:rFonts w:ascii="Times New Roman" w:hAnsi="Times New Roman"/>
                <w:noProof/>
                <w:webHidden/>
                <w:sz w:val="24"/>
                <w:szCs w:val="24"/>
              </w:rPr>
              <w:t>40</w:t>
            </w:r>
            <w:r w:rsidR="00F211FE" w:rsidRPr="00856821">
              <w:rPr>
                <w:rFonts w:ascii="Times New Roman" w:hAnsi="Times New Roman"/>
                <w:noProof/>
                <w:webHidden/>
                <w:sz w:val="24"/>
                <w:szCs w:val="24"/>
              </w:rPr>
              <w:fldChar w:fldCharType="end"/>
            </w:r>
          </w:hyperlink>
        </w:p>
        <w:p w14:paraId="45A1543D"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21" w:history="1">
            <w:r w:rsidR="00F211FE" w:rsidRPr="00856821">
              <w:rPr>
                <w:rStyle w:val="Hyperlink"/>
                <w:rFonts w:ascii="Times New Roman" w:hAnsi="Times New Roman"/>
                <w:noProof/>
              </w:rPr>
              <w:t>Conclusion</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_Toc71207821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44</w:t>
            </w:r>
            <w:r w:rsidR="00F211FE" w:rsidRPr="00856821">
              <w:rPr>
                <w:rFonts w:ascii="Times New Roman" w:hAnsi="Times New Roman"/>
                <w:noProof/>
                <w:webHidden/>
              </w:rPr>
              <w:fldChar w:fldCharType="end"/>
            </w:r>
          </w:hyperlink>
        </w:p>
        <w:p w14:paraId="59297DCD" w14:textId="77777777" w:rsidR="00F211FE" w:rsidRPr="00856821" w:rsidRDefault="009A7DB6" w:rsidP="00856821">
          <w:pPr>
            <w:pStyle w:val="TOC1"/>
            <w:tabs>
              <w:tab w:val="right" w:leader="dot" w:pos="9350"/>
            </w:tabs>
            <w:spacing w:line="276" w:lineRule="auto"/>
            <w:rPr>
              <w:rFonts w:ascii="Times New Roman" w:eastAsiaTheme="minorEastAsia" w:hAnsi="Times New Roman"/>
              <w:b w:val="0"/>
              <w:bCs w:val="0"/>
              <w:i w:val="0"/>
              <w:iCs w:val="0"/>
              <w:noProof/>
              <w:kern w:val="2"/>
              <w:lang w:eastAsia="zh-CN"/>
            </w:rPr>
          </w:pPr>
          <w:hyperlink w:anchor="_Toc71207822" w:history="1">
            <w:r w:rsidR="00F211FE" w:rsidRPr="00856821">
              <w:rPr>
                <w:rStyle w:val="Hyperlink"/>
                <w:rFonts w:ascii="Times New Roman" w:hAnsi="Times New Roman"/>
                <w:noProof/>
              </w:rPr>
              <w:t>References</w:t>
            </w:r>
            <w:r w:rsidR="00F211FE" w:rsidRPr="00856821">
              <w:rPr>
                <w:rFonts w:ascii="Times New Roman" w:hAnsi="Times New Roman"/>
                <w:noProof/>
                <w:webHidden/>
              </w:rPr>
              <w:tab/>
            </w:r>
            <w:r w:rsidR="00F211FE" w:rsidRPr="00856821">
              <w:rPr>
                <w:rFonts w:ascii="Times New Roman" w:hAnsi="Times New Roman"/>
                <w:noProof/>
                <w:webHidden/>
              </w:rPr>
              <w:fldChar w:fldCharType="begin"/>
            </w:r>
            <w:r w:rsidR="00F211FE" w:rsidRPr="00856821">
              <w:rPr>
                <w:rFonts w:ascii="Times New Roman" w:hAnsi="Times New Roman"/>
                <w:noProof/>
                <w:webHidden/>
              </w:rPr>
              <w:instrText xml:space="preserve"> PAGEREF _Toc71207822 \h </w:instrText>
            </w:r>
            <w:r w:rsidR="00F211FE" w:rsidRPr="00856821">
              <w:rPr>
                <w:rFonts w:ascii="Times New Roman" w:hAnsi="Times New Roman"/>
                <w:noProof/>
                <w:webHidden/>
              </w:rPr>
            </w:r>
            <w:r w:rsidR="00F211FE" w:rsidRPr="00856821">
              <w:rPr>
                <w:rFonts w:ascii="Times New Roman" w:hAnsi="Times New Roman"/>
                <w:noProof/>
                <w:webHidden/>
              </w:rPr>
              <w:fldChar w:fldCharType="separate"/>
            </w:r>
            <w:r w:rsidR="002D0384">
              <w:rPr>
                <w:rFonts w:ascii="Times New Roman" w:hAnsi="Times New Roman"/>
                <w:noProof/>
                <w:webHidden/>
              </w:rPr>
              <w:t>49</w:t>
            </w:r>
            <w:r w:rsidR="00F211FE" w:rsidRPr="00856821">
              <w:rPr>
                <w:rFonts w:ascii="Times New Roman" w:hAnsi="Times New Roman"/>
                <w:noProof/>
                <w:webHidden/>
              </w:rPr>
              <w:fldChar w:fldCharType="end"/>
            </w:r>
          </w:hyperlink>
        </w:p>
        <w:p w14:paraId="6B565408" w14:textId="77777777" w:rsidR="00505F64" w:rsidRPr="001F550F" w:rsidRDefault="00F211FE" w:rsidP="00505F64">
          <w:pPr>
            <w:spacing w:line="480" w:lineRule="auto"/>
          </w:pPr>
          <w:r w:rsidRPr="00856821">
            <w:rPr>
              <w:b/>
              <w:bCs/>
              <w:noProof/>
            </w:rPr>
            <w:fldChar w:fldCharType="end"/>
          </w:r>
        </w:p>
      </w:sdtContent>
    </w:sdt>
    <w:p w14:paraId="45416DEA" w14:textId="77777777" w:rsidR="006854E8" w:rsidRPr="00C02CA6" w:rsidRDefault="006854E8" w:rsidP="00C02CA6">
      <w:pPr>
        <w:spacing w:line="276" w:lineRule="auto"/>
      </w:pPr>
    </w:p>
    <w:p w14:paraId="7A227FB9" w14:textId="77777777" w:rsidR="006854E8" w:rsidRPr="00C02CA6" w:rsidRDefault="006854E8" w:rsidP="00C02CA6">
      <w:pPr>
        <w:rPr>
          <w:b/>
        </w:rPr>
      </w:pPr>
    </w:p>
    <w:p w14:paraId="463F304A" w14:textId="0F904A10" w:rsidR="002D0384" w:rsidRPr="00C02CA6" w:rsidRDefault="00F211FE" w:rsidP="00C02CA6">
      <w:pPr>
        <w:rPr>
          <w:b/>
        </w:rPr>
      </w:pPr>
      <w:bookmarkStart w:id="1" w:name="_Toc67662776"/>
      <w:r>
        <w:rPr>
          <w:rFonts w:eastAsia="SimHei"/>
          <w:b/>
        </w:rPr>
        <w:br w:type="page"/>
      </w:r>
      <w:bookmarkStart w:id="2" w:name="_Toc71207800"/>
    </w:p>
    <w:p w14:paraId="4A2F32C3" w14:textId="31AFF462" w:rsidR="004E2FC9" w:rsidRPr="004E2FC9" w:rsidRDefault="004E2FC9" w:rsidP="004E2FC9">
      <w:pPr>
        <w:keepNext/>
        <w:keepLines/>
        <w:spacing w:before="240" w:after="240" w:line="480" w:lineRule="auto"/>
        <w:jc w:val="center"/>
        <w:outlineLvl w:val="0"/>
        <w:rPr>
          <w:rFonts w:eastAsia="SimHei"/>
          <w:b/>
          <w:sz w:val="32"/>
          <w:szCs w:val="32"/>
        </w:rPr>
      </w:pPr>
      <w:r w:rsidRPr="004E2FC9">
        <w:rPr>
          <w:rFonts w:eastAsia="SimHei"/>
          <w:b/>
        </w:rPr>
        <w:lastRenderedPageBreak/>
        <w:t>Abstract</w:t>
      </w:r>
      <w:bookmarkEnd w:id="1"/>
      <w:bookmarkEnd w:id="2"/>
    </w:p>
    <w:p w14:paraId="0FBB4047" w14:textId="7C605BE0" w:rsidR="004E2FC9" w:rsidRPr="004E2FC9" w:rsidRDefault="004E2FC9" w:rsidP="004E2FC9">
      <w:pPr>
        <w:spacing w:line="480" w:lineRule="auto"/>
      </w:pPr>
      <w:r w:rsidRPr="004E2FC9">
        <w:t>This article reports on</w:t>
      </w:r>
      <w:r w:rsidR="003B7A98">
        <w:t xml:space="preserve"> quantitative findings from a</w:t>
      </w:r>
      <w:r w:rsidRPr="004E2FC9">
        <w:t xml:space="preserve"> design-based implementation research (DBIR)</w:t>
      </w:r>
      <w:r w:rsidR="003B7A98">
        <w:t xml:space="preserve"> project</w:t>
      </w:r>
      <w:r w:rsidRPr="004E2FC9">
        <w:t xml:space="preserve"> focused on teaching carbon cycling at multiple scales, from atomic-molecular to global. We report results from a large data set from diverse schools, including </w:t>
      </w:r>
      <w:r w:rsidR="00CA2B53">
        <w:t>59,65</w:t>
      </w:r>
      <w:r w:rsidR="00756281">
        <w:t>4</w:t>
      </w:r>
      <w:r w:rsidRPr="004E2FC9">
        <w:t xml:space="preserve"> student assessments of three-dimensional learning aligned with Next Generation Science Standards (NGSS</w:t>
      </w:r>
      <w:r w:rsidR="00B4309D">
        <w:t xml:space="preserve"> Lead States, 2013</w:t>
      </w:r>
      <w:r w:rsidRPr="004E2FC9">
        <w:t xml:space="preserve">) collected in classrooms of </w:t>
      </w:r>
      <w:r w:rsidR="009300C2">
        <w:t xml:space="preserve">133 </w:t>
      </w:r>
      <w:r w:rsidR="00523DB0">
        <w:t>middle- and high-school</w:t>
      </w:r>
      <w:r w:rsidRPr="004E2FC9">
        <w:t xml:space="preserve"> teachers over a four-year period. We used a subset of these data to investigate factors related to students’ learning</w:t>
      </w:r>
      <w:r w:rsidR="00283A2B">
        <w:t xml:space="preserve"> in this large and diverse set of classrooms</w:t>
      </w:r>
      <w:r w:rsidRPr="004E2FC9">
        <w:rPr>
          <w:i/>
          <w:iCs/>
        </w:rPr>
        <w:t xml:space="preserve">. </w:t>
      </w:r>
      <w:r w:rsidRPr="004E2FC9">
        <w:t>Our findings included: First, the project’s curriculum and professional development were associated with substantial improvements in overall student achievement</w:t>
      </w:r>
      <w:r w:rsidR="00283A2B">
        <w:t>;</w:t>
      </w:r>
      <w:r w:rsidRPr="004E2FC9">
        <w:t xml:space="preserve"> within classrooms</w:t>
      </w:r>
      <w:r w:rsidR="00283A2B">
        <w:t xml:space="preserve"> </w:t>
      </w:r>
      <w:r w:rsidRPr="004E2FC9">
        <w:t xml:space="preserve">students with lower pretest scores had higher learning gains. Second, </w:t>
      </w:r>
      <w:r w:rsidR="00283A2B">
        <w:t xml:space="preserve">differences among </w:t>
      </w:r>
      <w:r w:rsidR="009A42F0">
        <w:t xml:space="preserve">individual </w:t>
      </w:r>
      <w:r w:rsidR="004872FB">
        <w:t>teachers</w:t>
      </w:r>
      <w:r w:rsidR="004872FB">
        <w:t xml:space="preserve"> </w:t>
      </w:r>
      <w:r w:rsidR="009A42F0">
        <w:t xml:space="preserve">accounted for more of the variance in </w:t>
      </w:r>
      <w:r w:rsidR="0093492E">
        <w:t xml:space="preserve">student learning gains than </w:t>
      </w:r>
      <w:r w:rsidR="00185684">
        <w:t xml:space="preserve">other measures including </w:t>
      </w:r>
      <w:r w:rsidR="006279A8">
        <w:t>school demographics and students’ prior knowledge</w:t>
      </w:r>
      <w:r w:rsidRPr="004E2FC9">
        <w:rPr>
          <w:i/>
          <w:iCs/>
        </w:rPr>
        <w:t xml:space="preserve">. </w:t>
      </w:r>
      <w:r w:rsidRPr="004E2FC9">
        <w:t>Third, school demographic factors (percent free and reduced lunch and percent marginalized students of color) had statistically significant but small effects on students’ learning.</w:t>
      </w:r>
      <w:r w:rsidRPr="004E2FC9" w:rsidDel="00357026">
        <w:t xml:space="preserve"> </w:t>
      </w:r>
      <w:r w:rsidRPr="004E2FC9">
        <w:t xml:space="preserve">Finally, sustained investment and participation were important; student learning gains improved across years for the </w:t>
      </w:r>
      <w:proofErr w:type="gramStart"/>
      <w:r w:rsidRPr="004E2FC9">
        <w:t>project as a whole, and</w:t>
      </w:r>
      <w:proofErr w:type="gramEnd"/>
      <w:r w:rsidRPr="004E2FC9">
        <w:t xml:space="preserve"> for individual teachers as they gained experience and participated in professional development. These findings contribute to programs of systemic change to support three-dimensional science learning.</w:t>
      </w:r>
    </w:p>
    <w:p w14:paraId="1D9DAAAD" w14:textId="77777777" w:rsidR="004E2FC9" w:rsidRPr="004E2FC9" w:rsidRDefault="004E2FC9" w:rsidP="00BF27FF">
      <w:pPr>
        <w:spacing w:line="480" w:lineRule="auto"/>
        <w:ind w:firstLine="720"/>
      </w:pPr>
      <w:r w:rsidRPr="004E2FC9">
        <w:rPr>
          <w:i/>
          <w:iCs/>
        </w:rPr>
        <w:t>Keywords</w:t>
      </w:r>
      <w:r w:rsidRPr="004E2FC9">
        <w:t xml:space="preserve">: design-based implementation research, curriculum evaluation, achievement, teacher effectiveness, NGSS  </w:t>
      </w:r>
    </w:p>
    <w:p w14:paraId="3C5405BC" w14:textId="4F90CC1F" w:rsidR="00577DBB" w:rsidRPr="00F211FE" w:rsidRDefault="001D14C1">
      <w:pPr>
        <w:rPr>
          <w:b/>
          <w:bCs/>
        </w:rPr>
      </w:pPr>
      <w:bookmarkStart w:id="3" w:name="_Toc67662777"/>
      <w:r>
        <w:br w:type="page"/>
      </w:r>
      <w:bookmarkStart w:id="4" w:name="_Toc67662778"/>
      <w:bookmarkEnd w:id="3"/>
    </w:p>
    <w:p w14:paraId="1857F2A0" w14:textId="4EA21D8A" w:rsidR="00241752" w:rsidRPr="009D2C7F" w:rsidRDefault="009821B5" w:rsidP="009D2C7F">
      <w:pPr>
        <w:pStyle w:val="Heading1"/>
      </w:pPr>
      <w:bookmarkStart w:id="5" w:name="_Toc71207801"/>
      <w:r w:rsidRPr="009D2C7F">
        <w:lastRenderedPageBreak/>
        <w:t>Introduction and Literature Review</w:t>
      </w:r>
      <w:bookmarkEnd w:id="4"/>
      <w:bookmarkEnd w:id="5"/>
    </w:p>
    <w:p w14:paraId="2DD095AF" w14:textId="17B19C4F" w:rsidR="00092116" w:rsidRDefault="00092116" w:rsidP="00503271">
      <w:pPr>
        <w:pStyle w:val="standard"/>
      </w:pPr>
      <w:r w:rsidRPr="00CE70AA">
        <w:t>This article reports</w:t>
      </w:r>
      <w:r w:rsidR="00283A2B">
        <w:t xml:space="preserve"> analyses of quantitative</w:t>
      </w:r>
      <w:r w:rsidRPr="00CE70AA">
        <w:t xml:space="preserve"> data from a design-based implementation research (DBIR) project that aims to support student learning at scale to achieve three-dimensional learning goals in the Next Generation Science Standards (NGSS</w:t>
      </w:r>
      <w:r w:rsidR="00B4309D">
        <w:t xml:space="preserve"> Lead States, 2013</w:t>
      </w:r>
      <w:r w:rsidRPr="00CE70AA">
        <w:t>).</w:t>
      </w:r>
      <w:r>
        <w:t xml:space="preserve">  One key goal of DBIR research is </w:t>
      </w:r>
      <w:r w:rsidRPr="00E96612">
        <w:t>to connect large-scale</w:t>
      </w:r>
      <w:r w:rsidR="00283A2B" w:rsidRPr="00283A2B">
        <w:t xml:space="preserve"> </w:t>
      </w:r>
      <w:r w:rsidR="00283A2B" w:rsidRPr="00E96612">
        <w:t>reform</w:t>
      </w:r>
      <w:r w:rsidRPr="00E96612">
        <w:t xml:space="preserve"> efforts </w:t>
      </w:r>
      <w:r w:rsidR="00283A2B">
        <w:t>with</w:t>
      </w:r>
      <w:r w:rsidR="00283A2B" w:rsidRPr="00E96612">
        <w:t xml:space="preserve"> </w:t>
      </w:r>
      <w:r w:rsidRPr="00E96612">
        <w:t>daily classroom activities</w:t>
      </w:r>
      <w:r>
        <w:rPr>
          <w:i/>
        </w:rPr>
        <w:t xml:space="preserve"> </w:t>
      </w:r>
      <w:r>
        <w:t>of teachers and students</w:t>
      </w:r>
      <w:r w:rsidR="00283A2B">
        <w:t xml:space="preserve"> (Fishman et al., 2013)</w:t>
      </w:r>
      <w:r>
        <w:t xml:space="preserve">. We begin this article with an overview of some key aspects of large-scale </w:t>
      </w:r>
      <w:r w:rsidR="00B43871">
        <w:t xml:space="preserve">standards-based </w:t>
      </w:r>
      <w:r>
        <w:t xml:space="preserve">reform efforts and </w:t>
      </w:r>
      <w:r w:rsidR="00815332">
        <w:t>their connections with</w:t>
      </w:r>
      <w:r>
        <w:t xml:space="preserve"> daily activities</w:t>
      </w:r>
      <w:r w:rsidR="00815332">
        <w:t xml:space="preserve"> of teachers and students</w:t>
      </w:r>
      <w:r>
        <w:t xml:space="preserve"> in science </w:t>
      </w:r>
      <w:r w:rsidR="00815332">
        <w:t>classrooms</w:t>
      </w:r>
      <w:r>
        <w:t xml:space="preserve">.  </w:t>
      </w:r>
    </w:p>
    <w:p w14:paraId="360B2A99" w14:textId="08592CC5" w:rsidR="00092116" w:rsidRPr="005C6B09" w:rsidRDefault="007C30CA" w:rsidP="005C6B09">
      <w:pPr>
        <w:pStyle w:val="Heading2"/>
      </w:pPr>
      <w:bookmarkStart w:id="6" w:name="_Toc67662779"/>
      <w:bookmarkStart w:id="7" w:name="_Toc71207802"/>
      <w:r>
        <w:t>Standards-based</w:t>
      </w:r>
      <w:r w:rsidR="00092116" w:rsidRPr="005C6B09">
        <w:t xml:space="preserve"> Reform Efforts</w:t>
      </w:r>
      <w:bookmarkEnd w:id="6"/>
      <w:bookmarkEnd w:id="7"/>
    </w:p>
    <w:p w14:paraId="656E091F" w14:textId="447879EB" w:rsidR="00092116" w:rsidRDefault="00092116" w:rsidP="00503271">
      <w:pPr>
        <w:pStyle w:val="standard"/>
      </w:pPr>
      <w:r>
        <w:t xml:space="preserve">Cohen and Mehta (2017) have written a synthesis of lessons learned from David Cohen’s long career studying school reform.  Reviewing reforms in American schools from the nineteenth century to the present, Cohen and Mehta </w:t>
      </w:r>
      <w:r w:rsidR="00153FE0">
        <w:t xml:space="preserve">(2017) </w:t>
      </w:r>
      <w:r w:rsidR="000C383A">
        <w:t xml:space="preserve">distinguish between </w:t>
      </w:r>
      <w:r w:rsidR="000C383A">
        <w:rPr>
          <w:i/>
        </w:rPr>
        <w:t>system</w:t>
      </w:r>
      <w:r w:rsidR="00391BAC">
        <w:rPr>
          <w:i/>
        </w:rPr>
        <w:t>-wide</w:t>
      </w:r>
      <w:r w:rsidR="000C383A">
        <w:rPr>
          <w:i/>
        </w:rPr>
        <w:t xml:space="preserve"> reforms</w:t>
      </w:r>
      <w:r w:rsidR="00391BAC">
        <w:t xml:space="preserve"> that affected American education generally and </w:t>
      </w:r>
      <w:r w:rsidR="00391BAC">
        <w:rPr>
          <w:i/>
        </w:rPr>
        <w:t>niche reforms</w:t>
      </w:r>
      <w:r w:rsidR="00391BAC">
        <w:t xml:space="preserve"> that “</w:t>
      </w:r>
      <w:r w:rsidR="00391BAC" w:rsidRPr="00391BAC">
        <w:t>made significant changes in instruction by</w:t>
      </w:r>
      <w:r w:rsidR="00391BAC">
        <w:t xml:space="preserve"> </w:t>
      </w:r>
      <w:r w:rsidR="00391BAC" w:rsidRPr="00391BAC">
        <w:t>defining and creating a niche—a protected and bounded educational and</w:t>
      </w:r>
      <w:r w:rsidR="00391BAC">
        <w:t xml:space="preserve"> </w:t>
      </w:r>
      <w:r w:rsidR="00391BAC" w:rsidRPr="00391BAC">
        <w:t>political territory—in which they could thrive and survive.</w:t>
      </w:r>
      <w:r w:rsidR="00391BAC">
        <w:t xml:space="preserve">” (Cohen &amp; Mehta, 2017, p.676).  </w:t>
      </w:r>
    </w:p>
    <w:p w14:paraId="20A9071C" w14:textId="020E0CC4" w:rsidR="00092116" w:rsidRPr="00092116" w:rsidRDefault="00052642" w:rsidP="00D34196">
      <w:pPr>
        <w:pStyle w:val="standard"/>
      </w:pPr>
      <w:r>
        <w:t xml:space="preserve">One of the reforms that Cohen &amp; Mehta analyze is standards-based reform (SBR).  They mention SBR efforts in several different subject areas, then offer this summary of the general pattern: </w:t>
      </w:r>
    </w:p>
    <w:p w14:paraId="026698BC" w14:textId="13C646F6" w:rsidR="00391BAC" w:rsidRPr="00391BAC" w:rsidRDefault="00391BAC" w:rsidP="00C02CA6">
      <w:pPr>
        <w:pStyle w:val="standard"/>
        <w:ind w:left="720"/>
      </w:pPr>
      <w:r w:rsidRPr="00391BAC">
        <w:t xml:space="preserve">SBR succeeded in several ways. </w:t>
      </w:r>
      <w:r w:rsidRPr="00391BAC">
        <w:t>It acquired elite political support and</w:t>
      </w:r>
      <w:r w:rsidR="004872FB">
        <w:t xml:space="preserve"> </w:t>
      </w:r>
      <w:r w:rsidRPr="00391BAC">
        <w:t>became the dominant frame for thought and action. It persists, and though</w:t>
      </w:r>
      <w:r w:rsidR="004872FB">
        <w:t xml:space="preserve"> </w:t>
      </w:r>
      <w:r w:rsidRPr="00391BAC">
        <w:t>it shifts shape among states and over time and has encountered serious problems,</w:t>
      </w:r>
      <w:r w:rsidR="004872FB">
        <w:t xml:space="preserve"> </w:t>
      </w:r>
      <w:r w:rsidRPr="00391BAC">
        <w:t>it shows few signs of evaporating. All states have the key instruments,</w:t>
      </w:r>
      <w:r w:rsidR="004872FB">
        <w:t xml:space="preserve"> </w:t>
      </w:r>
      <w:r w:rsidRPr="00391BAC">
        <w:t xml:space="preserve">and each </w:t>
      </w:r>
      <w:proofErr w:type="gramStart"/>
      <w:r w:rsidRPr="00391BAC">
        <w:t>presents</w:t>
      </w:r>
      <w:proofErr w:type="gramEnd"/>
      <w:r w:rsidRPr="00391BAC">
        <w:t xml:space="preserve"> these as ‘‘aligned,’’ which implies operation on severa</w:t>
      </w:r>
      <w:r w:rsidR="004872FB">
        <w:t xml:space="preserve">l </w:t>
      </w:r>
      <w:r w:rsidRPr="00391BAC">
        <w:t xml:space="preserve">dimensions of schooling. Nearly all states profess commitment to </w:t>
      </w:r>
      <w:r w:rsidRPr="00391BAC">
        <w:lastRenderedPageBreak/>
        <w:t>the aims</w:t>
      </w:r>
      <w:r w:rsidR="004872FB">
        <w:t xml:space="preserve"> </w:t>
      </w:r>
      <w:r w:rsidRPr="00391BAC">
        <w:t>of the reform: strengthen academic quality, improve weak schools, and</w:t>
      </w:r>
      <w:r w:rsidR="004872FB">
        <w:t xml:space="preserve"> </w:t>
      </w:r>
      <w:r w:rsidRPr="00391BAC">
        <w:t>reduce educational inequality. The reform also brought unprecedented</w:t>
      </w:r>
      <w:r w:rsidR="004872FB">
        <w:t xml:space="preserve"> </w:t>
      </w:r>
      <w:r w:rsidRPr="00391BAC">
        <w:t>attention to educational inequality.</w:t>
      </w:r>
    </w:p>
    <w:p w14:paraId="02992624" w14:textId="6DA920AA" w:rsidR="00790720" w:rsidRDefault="00391BAC" w:rsidP="000F3BFB">
      <w:pPr>
        <w:pStyle w:val="standard"/>
        <w:ind w:left="720"/>
      </w:pPr>
      <w:r w:rsidRPr="00391BAC">
        <w:t>Despite these successes, SBR thus far seems to have not changed teaching</w:t>
      </w:r>
      <w:r w:rsidR="004872FB">
        <w:t xml:space="preserve"> </w:t>
      </w:r>
      <w:r w:rsidRPr="00391BAC">
        <w:t xml:space="preserve">and learning </w:t>
      </w:r>
      <w:proofErr w:type="gramStart"/>
      <w:r w:rsidRPr="00391BAC">
        <w:t>system-wide</w:t>
      </w:r>
      <w:proofErr w:type="gramEnd"/>
      <w:r w:rsidRPr="00391BAC">
        <w:t>. There are mixed reports but no evidence of</w:t>
      </w:r>
      <w:r w:rsidR="004872FB">
        <w:t xml:space="preserve"> </w:t>
      </w:r>
      <w:r w:rsidRPr="00391BAC">
        <w:t>system-wide success.</w:t>
      </w:r>
      <w:r w:rsidR="00052642">
        <w:t xml:space="preserve"> (Cohen &amp; Mehta, 2017, p, 668).</w:t>
      </w:r>
    </w:p>
    <w:p w14:paraId="4858F098" w14:textId="3FB09B80" w:rsidR="00052642" w:rsidRDefault="003C5BFD">
      <w:pPr>
        <w:pStyle w:val="standard"/>
      </w:pPr>
      <w:proofErr w:type="gramStart"/>
      <w:r>
        <w:t>So</w:t>
      </w:r>
      <w:proofErr w:type="gramEnd"/>
      <w:r>
        <w:t xml:space="preserve"> </w:t>
      </w:r>
      <w:r w:rsidR="008C0F8D">
        <w:t>w</w:t>
      </w:r>
      <w:r>
        <w:t xml:space="preserve">hile new approaches to teaching have taken hold in individual schools and smaller programs, </w:t>
      </w:r>
      <w:r w:rsidR="005D0ECE">
        <w:t xml:space="preserve">traditional approaches continue to predominate system wide. </w:t>
      </w:r>
      <w:r w:rsidR="00815332">
        <w:t>Therefore</w:t>
      </w:r>
      <w:r w:rsidR="005D0ECE">
        <w:t xml:space="preserve"> standards-based reform</w:t>
      </w:r>
      <w:r w:rsidR="00073F0F">
        <w:t>s have not led to system-wide improvements in</w:t>
      </w:r>
      <w:r w:rsidR="005D0ECE">
        <w:t xml:space="preserve"> student learning.</w:t>
      </w:r>
    </w:p>
    <w:p w14:paraId="48370BED" w14:textId="7D2985CA" w:rsidR="00323314" w:rsidRDefault="005D0ECE" w:rsidP="00323314">
      <w:pPr>
        <w:pStyle w:val="standard"/>
        <w:rPr>
          <w:lang w:eastAsia="zh-CN"/>
        </w:rPr>
      </w:pPr>
      <w:r>
        <w:t xml:space="preserve">So how do the current standards-based reforms in science education, based on the </w:t>
      </w:r>
      <w:r>
        <w:rPr>
          <w:i/>
          <w:iCs/>
        </w:rPr>
        <w:t xml:space="preserve">Framework for K-12 Science Education </w:t>
      </w:r>
      <w:r>
        <w:t>(NRC, 2012), and the Next Generation Science Standards (NGSS Lead States, 2013)</w:t>
      </w:r>
      <w:r w:rsidR="00787C17">
        <w:t xml:space="preserve"> fit into the general pattern described by Cohen &amp; Mehta?  The answer, it seems to us, is “all too well.”  System-wide, most states have adopted NGSS-based science curriculum frameworks</w:t>
      </w:r>
      <w:r w:rsidR="00815332">
        <w:t>,</w:t>
      </w:r>
      <w:r w:rsidR="00787C17">
        <w:t xml:space="preserve"> are developing statewide assessments based on those frameworks</w:t>
      </w:r>
      <w:r w:rsidR="00815332">
        <w:t>,</w:t>
      </w:r>
      <w:r w:rsidR="00787C17">
        <w:t xml:space="preserve"> and express commitment to the NGSS goals of improving science teaching and learning and reducing educational inequality</w:t>
      </w:r>
      <w:r w:rsidR="00C758CD">
        <w:t xml:space="preserve"> </w:t>
      </w:r>
      <w:r w:rsidR="00EF76E1">
        <w:t>(NRC, 2015)</w:t>
      </w:r>
      <w:r w:rsidR="00787C17">
        <w:t xml:space="preserve">. </w:t>
      </w:r>
      <w:r w:rsidR="002905C5">
        <w:t xml:space="preserve">However, we see little evidence that these commitments have </w:t>
      </w:r>
      <w:r w:rsidR="00D812F6">
        <w:t>yet led to widespread changes in classroom teaching or students’ three-dimensional learning.</w:t>
      </w:r>
      <w:r w:rsidR="00AF7C15">
        <w:t xml:space="preserve">  There is little evidence of large-scale changes in science instructional practices (</w:t>
      </w:r>
      <w:proofErr w:type="spellStart"/>
      <w:r w:rsidR="00AF7C15">
        <w:t>Banilower</w:t>
      </w:r>
      <w:proofErr w:type="spellEnd"/>
      <w:r w:rsidR="00AF7C15">
        <w:t xml:space="preserve"> et al., 2018, Chapter 5).</w:t>
      </w:r>
      <w:r w:rsidR="00D812F6">
        <w:t xml:space="preserve"> </w:t>
      </w:r>
      <w:r w:rsidR="00815332">
        <w:t xml:space="preserve">While current large-scale assessments are not fully aligned with NGSS, they do not show evidence </w:t>
      </w:r>
      <w:r w:rsidR="00155F9A">
        <w:t>of changes in student learning.  For example</w:t>
      </w:r>
      <w:r w:rsidR="000B592F">
        <w:t>, t</w:t>
      </w:r>
      <w:r w:rsidR="00323314">
        <w:t>he average science score</w:t>
      </w:r>
      <w:r w:rsidR="00815332">
        <w:t>s</w:t>
      </w:r>
      <w:r w:rsidR="00323314">
        <w:t xml:space="preserve"> on the ACT </w:t>
      </w:r>
      <w:proofErr w:type="gramStart"/>
      <w:r w:rsidR="00323314">
        <w:t>has</w:t>
      </w:r>
      <w:proofErr w:type="gramEnd"/>
      <w:r w:rsidR="00323314">
        <w:t xml:space="preserve"> </w:t>
      </w:r>
      <w:r w:rsidR="00523DB0">
        <w:t>stayed</w:t>
      </w:r>
      <w:r w:rsidR="00323314">
        <w:t xml:space="preserve"> between 20.6 and 21.0 for the past decade</w:t>
      </w:r>
      <w:r w:rsidR="00B104CC">
        <w:t xml:space="preserve"> </w:t>
      </w:r>
      <w:r w:rsidR="00323314">
        <w:t>(ACT 2016, 2020)</w:t>
      </w:r>
      <w:r w:rsidR="00523DB0">
        <w:t>, while</w:t>
      </w:r>
      <w:r w:rsidR="00323314">
        <w:t xml:space="preserve"> the percentage of students showing science achievement consistent with college readiness </w:t>
      </w:r>
      <w:r w:rsidR="00523DB0">
        <w:t>has been</w:t>
      </w:r>
      <w:r w:rsidR="00323314">
        <w:t xml:space="preserve"> between 36 and 38 percent since 2013 when NGSS was widely </w:t>
      </w:r>
      <w:r w:rsidR="00323314">
        <w:lastRenderedPageBreak/>
        <w:t xml:space="preserve">adopted by states. Similarly, the NAEP </w:t>
      </w:r>
      <w:r w:rsidR="00523DB0">
        <w:t>twel</w:t>
      </w:r>
      <w:r w:rsidR="001512B0">
        <w:rPr>
          <w:lang w:eastAsia="zh-CN"/>
        </w:rPr>
        <w:t>f</w:t>
      </w:r>
      <w:r w:rsidR="00523DB0">
        <w:rPr>
          <w:rFonts w:hint="eastAsia"/>
          <w:lang w:eastAsia="zh-CN"/>
        </w:rPr>
        <w:t>t</w:t>
      </w:r>
      <w:r w:rsidR="00523DB0">
        <w:t>h</w:t>
      </w:r>
      <w:r w:rsidR="00323314">
        <w:t xml:space="preserve"> grade science test shows no gains in</w:t>
      </w:r>
      <w:r w:rsidR="00523DB0">
        <w:t xml:space="preserve"> science</w:t>
      </w:r>
      <w:r w:rsidR="00323314">
        <w:t xml:space="preserve"> achievement from 2009 to 2015 with </w:t>
      </w:r>
      <w:proofErr w:type="gramStart"/>
      <w:r w:rsidR="00323314">
        <w:t>the majority of</w:t>
      </w:r>
      <w:proofErr w:type="gramEnd"/>
      <w:r w:rsidR="00323314">
        <w:t xml:space="preserve"> students below the proficient benchmark (</w:t>
      </w:r>
      <w:r w:rsidR="00B4309D">
        <w:t>U. S. Department of Education, 2015</w:t>
      </w:r>
      <w:r w:rsidR="00323314">
        <w:t>).</w:t>
      </w:r>
    </w:p>
    <w:p w14:paraId="150D6282" w14:textId="44E20D4A" w:rsidR="005F326E" w:rsidRPr="005C6B09" w:rsidRDefault="005F326E" w:rsidP="008A48D4">
      <w:pPr>
        <w:pStyle w:val="Heading2"/>
        <w:rPr>
          <w:rFonts w:eastAsia="SimSun"/>
          <w:lang w:eastAsia="zh-CN"/>
        </w:rPr>
      </w:pPr>
      <w:bookmarkStart w:id="8" w:name="_Toc67662780"/>
      <w:bookmarkStart w:id="9" w:name="_Toc71207803"/>
      <w:r w:rsidRPr="005C6B09">
        <w:rPr>
          <w:rFonts w:eastAsia="SimSun"/>
          <w:lang w:eastAsia="zh-CN"/>
        </w:rPr>
        <w:t>Design-based Implementation Research</w:t>
      </w:r>
      <w:bookmarkEnd w:id="8"/>
      <w:bookmarkEnd w:id="9"/>
    </w:p>
    <w:p w14:paraId="3D88E22E" w14:textId="77777777" w:rsidR="005F326E" w:rsidRDefault="00A36C49" w:rsidP="007132B0">
      <w:pPr>
        <w:pStyle w:val="standard"/>
      </w:pPr>
      <w:r>
        <w:t xml:space="preserve">This context provides a motivating question for DBIR: </w:t>
      </w:r>
      <w:r>
        <w:rPr>
          <w:i/>
          <w:iCs/>
        </w:rPr>
        <w:t xml:space="preserve">How can this standards-based reform be different?  </w:t>
      </w:r>
      <w:r>
        <w:t>Previous reforms have had deep effects on classroom teaching and learning only in protected niches.  This time, how can the small-scale successes documented in the reform literature provide a foundation for system-wide change?</w:t>
      </w:r>
    </w:p>
    <w:p w14:paraId="146DD020" w14:textId="21175E7A" w:rsidR="0009124F" w:rsidRDefault="00A36C49" w:rsidP="00D12A4B">
      <w:pPr>
        <w:pStyle w:val="standard"/>
      </w:pPr>
      <w:r>
        <w:t>Our answer to this question relies on the framework presented in Figure 1, below.</w:t>
      </w:r>
      <w:r w:rsidR="007F7986">
        <w:t xml:space="preserve"> </w:t>
      </w:r>
      <w:r w:rsidR="00F553A6">
        <w:t>Figure 1</w:t>
      </w:r>
      <w:r w:rsidR="00DD3BC2">
        <w:t xml:space="preserve"> traces what </w:t>
      </w:r>
      <w:proofErr w:type="spellStart"/>
      <w:r w:rsidR="00DD3BC2" w:rsidRPr="00C96E56">
        <w:t>Tekkumru-Kisa</w:t>
      </w:r>
      <w:proofErr w:type="spellEnd"/>
      <w:r w:rsidR="00DD3BC2" w:rsidRPr="00C96E56">
        <w:t>, Stein, and Doyle (2020) describe as “channels of influence” through which science educators</w:t>
      </w:r>
      <w:r w:rsidR="002D05EA">
        <w:t xml:space="preserve"> and science teachers</w:t>
      </w:r>
      <w:r w:rsidR="00DD3BC2" w:rsidRPr="00C96E56">
        <w:t xml:space="preserve"> can seek to change the system</w:t>
      </w:r>
      <w:r w:rsidR="003D394B">
        <w:t xml:space="preserve">. We use this figure </w:t>
      </w:r>
      <w:r w:rsidR="00C079CF">
        <w:t xml:space="preserve">to clarify </w:t>
      </w:r>
      <w:r w:rsidR="00BA46DD">
        <w:t xml:space="preserve">how </w:t>
      </w:r>
      <w:r w:rsidR="008F06AC">
        <w:t>DBIR</w:t>
      </w:r>
      <w:r w:rsidR="0018411B">
        <w:t xml:space="preserve"> differs from</w:t>
      </w:r>
      <w:r w:rsidR="009D7AFF">
        <w:t xml:space="preserve"> both large-scale research on educational outcomes and design-based research </w:t>
      </w:r>
      <w:r w:rsidR="00D42781">
        <w:t xml:space="preserve">that focuses on developing more powerful approaches to science teaching and learning.  </w:t>
      </w:r>
    </w:p>
    <w:p w14:paraId="2C9ECA37" w14:textId="77777777" w:rsidR="00C02CA6" w:rsidRDefault="00C02CA6">
      <w:pPr>
        <w:rPr>
          <w:b/>
        </w:rPr>
      </w:pPr>
      <w:r>
        <w:rPr>
          <w:b/>
        </w:rPr>
        <w:br w:type="page"/>
      </w:r>
    </w:p>
    <w:p w14:paraId="1890397A" w14:textId="49C884E3" w:rsidR="00A04380" w:rsidRPr="00C02CA6" w:rsidRDefault="00A04380" w:rsidP="00C02CA6">
      <w:pPr>
        <w:rPr>
          <w:b/>
        </w:rPr>
      </w:pPr>
      <w:r w:rsidRPr="00C02CA6">
        <w:rPr>
          <w:b/>
        </w:rPr>
        <w:lastRenderedPageBreak/>
        <w:t>Figure 1</w:t>
      </w:r>
    </w:p>
    <w:p w14:paraId="5583D69B" w14:textId="77777777" w:rsidR="0009124F" w:rsidRPr="00C66109" w:rsidRDefault="0009124F" w:rsidP="00EB5728">
      <w:pPr>
        <w:rPr>
          <w:i/>
          <w:iCs/>
        </w:rPr>
      </w:pPr>
      <w:r w:rsidRPr="00C66109">
        <w:rPr>
          <w:i/>
          <w:iCs/>
        </w:rPr>
        <w:t xml:space="preserve">Task Framework </w:t>
      </w:r>
    </w:p>
    <w:p w14:paraId="3DCCCFE6" w14:textId="77777777" w:rsidR="0009124F" w:rsidRPr="00A0029C" w:rsidRDefault="0009124F" w:rsidP="0009124F">
      <w:pPr>
        <w:jc w:val="center"/>
        <w:rPr>
          <w:i/>
          <w:iCs/>
        </w:rPr>
      </w:pPr>
      <w:r w:rsidRPr="00145BDF">
        <w:rPr>
          <w:noProof/>
        </w:rPr>
        <w:drawing>
          <wp:inline distT="0" distB="0" distL="0" distR="0" wp14:anchorId="1E02CC86" wp14:editId="6C6CFCE1">
            <wp:extent cx="5856259" cy="2613768"/>
            <wp:effectExtent l="12700" t="12700" r="1143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62" t="13300" r="3470" b="13964"/>
                    <a:stretch/>
                  </pic:blipFill>
                  <pic:spPr bwMode="auto">
                    <a:xfrm>
                      <a:off x="0" y="0"/>
                      <a:ext cx="5882880" cy="2625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50915A" w14:textId="77777777" w:rsidR="0009124F" w:rsidRPr="00F71817" w:rsidRDefault="0009124F" w:rsidP="0009124F">
      <w:pPr>
        <w:spacing w:before="100"/>
        <w:rPr>
          <w:i/>
          <w:iCs/>
          <w:sz w:val="8"/>
          <w:szCs w:val="2"/>
        </w:rPr>
      </w:pPr>
    </w:p>
    <w:p w14:paraId="2EE531FE" w14:textId="77777777" w:rsidR="0009124F" w:rsidRPr="00A0029C" w:rsidRDefault="0009124F" w:rsidP="00EB5728">
      <w:pPr>
        <w:spacing w:before="100"/>
      </w:pPr>
      <w:r w:rsidRPr="00A0029C">
        <w:rPr>
          <w:rFonts w:hint="eastAsia"/>
          <w:i/>
          <w:iCs/>
        </w:rPr>
        <w:t>No</w:t>
      </w:r>
      <w:r w:rsidRPr="00A0029C">
        <w:rPr>
          <w:i/>
          <w:iCs/>
        </w:rPr>
        <w:t>te.</w:t>
      </w:r>
      <w:r>
        <w:rPr>
          <w:i/>
          <w:iCs/>
        </w:rPr>
        <w:t xml:space="preserve"> </w:t>
      </w:r>
      <w:r>
        <w:t>The figure was a</w:t>
      </w:r>
      <w:r w:rsidRPr="00A0029C">
        <w:t xml:space="preserve">dapted from </w:t>
      </w:r>
      <w:proofErr w:type="spellStart"/>
      <w:r w:rsidRPr="00A0029C">
        <w:t>Tekkumru-Kisa</w:t>
      </w:r>
      <w:proofErr w:type="spellEnd"/>
      <w:r w:rsidRPr="00A0029C">
        <w:t xml:space="preserve"> et al.</w:t>
      </w:r>
      <w:r>
        <w:t xml:space="preserve"> (</w:t>
      </w:r>
      <w:r w:rsidRPr="00A0029C">
        <w:t>2020</w:t>
      </w:r>
      <w:r>
        <w:t xml:space="preserve">). </w:t>
      </w:r>
    </w:p>
    <w:p w14:paraId="29BBA056" w14:textId="77777777" w:rsidR="0009124F" w:rsidRDefault="0009124F" w:rsidP="007132B0">
      <w:pPr>
        <w:pStyle w:val="standard"/>
      </w:pPr>
    </w:p>
    <w:p w14:paraId="2992F74C" w14:textId="69808686" w:rsidR="00E17DFE" w:rsidRDefault="00181777" w:rsidP="007132B0">
      <w:pPr>
        <w:pStyle w:val="standard"/>
      </w:pPr>
      <w:r>
        <w:t>In their quote above</w:t>
      </w:r>
      <w:r w:rsidR="00C77623">
        <w:t>,</w:t>
      </w:r>
      <w:r>
        <w:t xml:space="preserve"> Cohen &amp; Mehta were describing </w:t>
      </w:r>
      <w:r w:rsidR="00EA12BE">
        <w:t>pa</w:t>
      </w:r>
      <w:r w:rsidR="003833A7">
        <w:t>tterns found in l</w:t>
      </w:r>
      <w:r w:rsidR="00E17DFE">
        <w:t>arge-scale studies of standards-based reform</w:t>
      </w:r>
      <w:r w:rsidR="00F52DDD">
        <w:t>. These studies have generally</w:t>
      </w:r>
      <w:r w:rsidR="00E17DFE">
        <w:t xml:space="preserve"> focus</w:t>
      </w:r>
      <w:r w:rsidR="00F52DDD">
        <w:t>ed</w:t>
      </w:r>
      <w:r w:rsidR="00E17DFE">
        <w:t xml:space="preserve"> on statistical relationships between the blue sides of Figure 1: How can curriculum standards, and curricula based on those standards, affect student learning (e.g.,</w:t>
      </w:r>
      <w:r w:rsidR="00A44B10">
        <w:t xml:space="preserve"> Goldman et al., 2019</w:t>
      </w:r>
      <w:r w:rsidR="0002505A">
        <w:t>;</w:t>
      </w:r>
      <w:r w:rsidR="00A44B10">
        <w:t xml:space="preserve"> Grigg et al., 2013;</w:t>
      </w:r>
      <w:r w:rsidR="00E17DFE">
        <w:t xml:space="preserve"> </w:t>
      </w:r>
      <w:r w:rsidR="008152BF">
        <w:t>Jacob et al., 2017</w:t>
      </w:r>
      <w:r w:rsidR="0073050F">
        <w:t>; Roblin</w:t>
      </w:r>
      <w:r w:rsidR="00BB1A1A">
        <w:t xml:space="preserve"> et al.</w:t>
      </w:r>
      <w:r w:rsidR="00ED6B01">
        <w:t>,</w:t>
      </w:r>
      <w:r w:rsidR="00ED6B01">
        <w:t xml:space="preserve"> 2018</w:t>
      </w:r>
      <w:r w:rsidR="00E17DFE">
        <w:t>)?  In these large-scale studies, the red middle of Figure 1—individual communities, schools, teachers, students, and classrooms—</w:t>
      </w:r>
      <w:r w:rsidR="005604F4">
        <w:t xml:space="preserve">are perceived as </w:t>
      </w:r>
      <w:r w:rsidR="00E17DFE">
        <w:t xml:space="preserve">statistical noise, weakening the relationship between reform efforts and student learning. The larger and more diverse the educational system, the weaker the relationship becomes, until it fades away in the diversity and complexity of the United States educational </w:t>
      </w:r>
      <w:proofErr w:type="gramStart"/>
      <w:r w:rsidR="00E17DFE">
        <w:t>system as a whole</w:t>
      </w:r>
      <w:proofErr w:type="gramEnd"/>
      <w:r w:rsidR="0029641C">
        <w:t xml:space="preserve">. Furthermore, larger scale statistical studies have not </w:t>
      </w:r>
      <w:r w:rsidR="003D394B">
        <w:t>used</w:t>
      </w:r>
      <w:r w:rsidR="0029641C">
        <w:t xml:space="preserve"> credible measures of three-dimensional science learning</w:t>
      </w:r>
      <w:r w:rsidR="003D394B">
        <w:t xml:space="preserve">. </w:t>
      </w:r>
      <w:proofErr w:type="gramStart"/>
      <w:r w:rsidR="003D394B">
        <w:t>Thus</w:t>
      </w:r>
      <w:proofErr w:type="gramEnd"/>
      <w:r w:rsidR="003D394B">
        <w:t xml:space="preserve"> these studies</w:t>
      </w:r>
      <w:r w:rsidR="0029641C">
        <w:t xml:space="preserve"> have not provided evidence that the ambitious changes in science teaching and learning envisioned by the current reform movement can be enacted on a system-wide scale.</w:t>
      </w:r>
      <w:r w:rsidR="00E17DFE">
        <w:t xml:space="preserve"> </w:t>
      </w:r>
    </w:p>
    <w:p w14:paraId="632521D5" w14:textId="7FE7113D" w:rsidR="001879C3" w:rsidRDefault="00E91D18" w:rsidP="00FD207D">
      <w:pPr>
        <w:pStyle w:val="standard"/>
      </w:pPr>
      <w:r>
        <w:lastRenderedPageBreak/>
        <w:t xml:space="preserve">In contrast with </w:t>
      </w:r>
      <w:r w:rsidR="005E6320">
        <w:t xml:space="preserve">large-scale statistical research, </w:t>
      </w:r>
      <w:r w:rsidR="0070622C">
        <w:t>design-based research</w:t>
      </w:r>
      <w:r w:rsidR="001222CD">
        <w:t xml:space="preserve"> </w:t>
      </w:r>
      <w:r w:rsidR="00EA07E6">
        <w:t>and articles discussing lessons learned from that research</w:t>
      </w:r>
      <w:r w:rsidR="00FC2CCD">
        <w:t xml:space="preserve"> </w:t>
      </w:r>
      <w:r w:rsidR="0015183B">
        <w:t xml:space="preserve">(e.g., </w:t>
      </w:r>
      <w:r w:rsidR="0015183B">
        <w:t>Dauer, et al,</w:t>
      </w:r>
      <w:r w:rsidR="00566FD7">
        <w:t xml:space="preserve"> 2014; </w:t>
      </w:r>
      <w:proofErr w:type="spellStart"/>
      <w:r w:rsidR="0015183B">
        <w:t>Furtak</w:t>
      </w:r>
      <w:proofErr w:type="spellEnd"/>
      <w:r w:rsidR="0015183B">
        <w:t xml:space="preserve"> &amp; Penuel</w:t>
      </w:r>
      <w:r w:rsidR="00C02CA6">
        <w:t>,</w:t>
      </w:r>
      <w:r w:rsidR="0015183B">
        <w:t xml:space="preserve"> 2019; Lehrer &amp; </w:t>
      </w:r>
      <w:proofErr w:type="spellStart"/>
      <w:r w:rsidR="0015183B">
        <w:t>Schauble</w:t>
      </w:r>
      <w:proofErr w:type="spellEnd"/>
      <w:r w:rsidR="0015183B">
        <w:t xml:space="preserve">, 2012; </w:t>
      </w:r>
      <w:r w:rsidR="0015183B">
        <w:t xml:space="preserve">Miller &amp; Anderson, 2017; </w:t>
      </w:r>
      <w:r w:rsidR="0015183B">
        <w:t>Penuel &amp; Reiser, 2018; Rosebery</w:t>
      </w:r>
      <w:r w:rsidR="00566FD7">
        <w:t xml:space="preserve"> et al.,</w:t>
      </w:r>
      <w:r w:rsidR="00566FD7">
        <w:t xml:space="preserve"> </w:t>
      </w:r>
      <w:r w:rsidR="0015183B">
        <w:t>2014)</w:t>
      </w:r>
      <w:r w:rsidR="00FC2CCD">
        <w:t xml:space="preserve"> </w:t>
      </w:r>
      <w:r w:rsidR="0055380B">
        <w:t xml:space="preserve">has worked </w:t>
      </w:r>
      <w:r w:rsidR="00865637">
        <w:t xml:space="preserve">mostly within the red parts of Figure 1, developing and enacting </w:t>
      </w:r>
      <w:r w:rsidR="009E05F1">
        <w:t>standards-based reforms</w:t>
      </w:r>
      <w:r w:rsidR="00865637">
        <w:t xml:space="preserve"> in small numbers of </w:t>
      </w:r>
      <w:r w:rsidR="007A5163">
        <w:t>classrooms</w:t>
      </w:r>
      <w:r w:rsidR="002C56FA">
        <w:t xml:space="preserve">, and developing detailed qualitative accounts </w:t>
      </w:r>
      <w:r w:rsidR="009148BF">
        <w:t xml:space="preserve">of how those innovations affect </w:t>
      </w:r>
      <w:r w:rsidR="00C83BB2">
        <w:t>classroom discourse and student learning</w:t>
      </w:r>
      <w:r w:rsidR="001934FA">
        <w:t>.</w:t>
      </w:r>
      <w:r w:rsidR="009676C9">
        <w:t xml:space="preserve"> These studies </w:t>
      </w:r>
      <w:r w:rsidR="005253FD">
        <w:t>have produced</w:t>
      </w:r>
      <w:r w:rsidR="000C24F4">
        <w:t xml:space="preserve"> </w:t>
      </w:r>
      <w:r w:rsidR="00086E7B">
        <w:t>“existence proofs” with</w:t>
      </w:r>
      <w:r w:rsidR="005253FD">
        <w:t xml:space="preserve"> important insights into how teachers and </w:t>
      </w:r>
      <w:r w:rsidR="00150829">
        <w:t xml:space="preserve">students can work together </w:t>
      </w:r>
      <w:r w:rsidR="00147F3D">
        <w:t xml:space="preserve">to </w:t>
      </w:r>
      <w:r w:rsidR="00277539">
        <w:t>enact and scaffold three-dimensional sensemaking</w:t>
      </w:r>
      <w:r w:rsidR="00086E7B">
        <w:t xml:space="preserve"> (e.g., Lehrer &amp; </w:t>
      </w:r>
      <w:proofErr w:type="spellStart"/>
      <w:r w:rsidR="00086E7B">
        <w:t>Schauble</w:t>
      </w:r>
      <w:proofErr w:type="spellEnd"/>
      <w:r w:rsidR="00086E7B">
        <w:t>, 2012; National Research Council, 2007, 2015; Rosebery</w:t>
      </w:r>
      <w:r w:rsidR="00D262DA">
        <w:t xml:space="preserve"> et al.</w:t>
      </w:r>
      <w:r w:rsidR="00086E7B">
        <w:t>,</w:t>
      </w:r>
      <w:r w:rsidR="00086E7B">
        <w:t xml:space="preserve"> 2014; Thompson et al., 2016).</w:t>
      </w:r>
      <w:r w:rsidR="00277539">
        <w:t xml:space="preserve"> However,</w:t>
      </w:r>
      <w:r w:rsidR="00CC326E">
        <w:t xml:space="preserve"> </w:t>
      </w:r>
      <w:r w:rsidR="00364C2A">
        <w:t>as Cohen &amp; Mehta point out</w:t>
      </w:r>
      <w:r w:rsidR="006A7CBC">
        <w:t xml:space="preserve">, </w:t>
      </w:r>
      <w:r w:rsidR="0077093B">
        <w:t xml:space="preserve">the </w:t>
      </w:r>
      <w:r w:rsidR="00325895">
        <w:t xml:space="preserve">insights and products of design-based research </w:t>
      </w:r>
      <w:r w:rsidR="00374D1D">
        <w:t xml:space="preserve">have worked well </w:t>
      </w:r>
      <w:r w:rsidR="003E73D4">
        <w:t xml:space="preserve">in specific niches within our educational systems </w:t>
      </w:r>
      <w:r w:rsidR="00444D52">
        <w:t>without having significant effects on</w:t>
      </w:r>
      <w:r w:rsidR="009D3A83">
        <w:t xml:space="preserve"> the diverse educational </w:t>
      </w:r>
      <w:proofErr w:type="gramStart"/>
      <w:r w:rsidR="009D3A83">
        <w:t>system as a whole</w:t>
      </w:r>
      <w:proofErr w:type="gramEnd"/>
      <w:r w:rsidR="009D3A83">
        <w:t xml:space="preserve">. </w:t>
      </w:r>
    </w:p>
    <w:p w14:paraId="49EC1CA1" w14:textId="76C36C15" w:rsidR="000232C6" w:rsidRDefault="00930707" w:rsidP="00FD207D">
      <w:pPr>
        <w:pStyle w:val="standard"/>
        <w:rPr>
          <w:rFonts w:cs="Arial"/>
        </w:rPr>
      </w:pPr>
      <w:r>
        <w:t xml:space="preserve">DBIR </w:t>
      </w:r>
      <w:r w:rsidR="00E73BD4">
        <w:t xml:space="preserve">builds on insights from both </w:t>
      </w:r>
      <w:r w:rsidR="00B43EA6">
        <w:t xml:space="preserve">quantitative large-scale research </w:t>
      </w:r>
      <w:r w:rsidR="00791105">
        <w:t xml:space="preserve">and qualitative design-based research. </w:t>
      </w:r>
      <w:r w:rsidR="00C12C26">
        <w:t>De</w:t>
      </w:r>
      <w:r w:rsidR="00FC5C88">
        <w:t xml:space="preserve">sign-based implementation researchers recognize the special challenges </w:t>
      </w:r>
      <w:r w:rsidR="008F29CB">
        <w:t xml:space="preserve">of designing reforms that work at scale, </w:t>
      </w:r>
      <w:r w:rsidR="003A0F87">
        <w:t xml:space="preserve">in diverse classrooms, while </w:t>
      </w:r>
      <w:r w:rsidR="001162EC">
        <w:t xml:space="preserve">using insights from </w:t>
      </w:r>
      <w:r w:rsidR="0035669D">
        <w:t xml:space="preserve">design-based research about how the sensemaking efforts of teachers and students in classrooms are much more than </w:t>
      </w:r>
      <w:r w:rsidR="00B664F7">
        <w:t xml:space="preserve">statistical noise. </w:t>
      </w:r>
      <w:r w:rsidR="00A46B2C" w:rsidRPr="00CE70AA">
        <w:rPr>
          <w:rFonts w:cs="Arial"/>
        </w:rPr>
        <w:t>DBIR is an approach to research that deliberately addresses issues of coordination and coherence across components and scales of organization in education systems (</w:t>
      </w:r>
      <w:proofErr w:type="spellStart"/>
      <w:r w:rsidR="00A46B2C" w:rsidRPr="00CE70AA">
        <w:rPr>
          <w:rFonts w:cs="Arial"/>
        </w:rPr>
        <w:t>Dolle</w:t>
      </w:r>
      <w:proofErr w:type="spellEnd"/>
      <w:r w:rsidR="00867093">
        <w:rPr>
          <w:rFonts w:cs="Arial"/>
        </w:rPr>
        <w:t xml:space="preserve"> et al.</w:t>
      </w:r>
      <w:r w:rsidR="00A46B2C" w:rsidRPr="00CE70AA">
        <w:rPr>
          <w:rFonts w:cs="Arial"/>
        </w:rPr>
        <w:t xml:space="preserve">, </w:t>
      </w:r>
      <w:r w:rsidR="00A46B2C" w:rsidRPr="00CE70AA">
        <w:rPr>
          <w:rFonts w:cs="Arial"/>
        </w:rPr>
        <w:t>2013;</w:t>
      </w:r>
      <w:r w:rsidR="00155F9A">
        <w:rPr>
          <w:rFonts w:cs="Arial"/>
        </w:rPr>
        <w:t xml:space="preserve"> Fishman et al., 2013;</w:t>
      </w:r>
      <w:r w:rsidR="00A46B2C" w:rsidRPr="00CE70AA">
        <w:rPr>
          <w:rFonts w:cs="Arial"/>
        </w:rPr>
        <w:t xml:space="preserve"> Jackson &amp; Cobb, 2013; </w:t>
      </w:r>
      <w:r w:rsidR="00B4309D">
        <w:rPr>
          <w:rFonts w:cs="Arial"/>
        </w:rPr>
        <w:t xml:space="preserve">Penuel et al., 2011; </w:t>
      </w:r>
      <w:r w:rsidR="00A46B2C" w:rsidRPr="00CE70AA">
        <w:rPr>
          <w:rFonts w:cs="Arial"/>
        </w:rPr>
        <w:t>Penuel &amp; Fishman, 2012)</w:t>
      </w:r>
      <w:r w:rsidR="007D2FE5">
        <w:rPr>
          <w:rFonts w:cs="Arial"/>
        </w:rPr>
        <w:t>.</w:t>
      </w:r>
      <w:r w:rsidR="007B47D1">
        <w:rPr>
          <w:rFonts w:cs="Arial"/>
        </w:rPr>
        <w:t xml:space="preserve"> </w:t>
      </w:r>
    </w:p>
    <w:p w14:paraId="7899F321" w14:textId="4182F8B2" w:rsidR="004B0CAA" w:rsidRDefault="00CC00A5" w:rsidP="000232C6">
      <w:pPr>
        <w:pStyle w:val="standard"/>
      </w:pPr>
      <w:r>
        <w:rPr>
          <w:rFonts w:cs="Arial"/>
        </w:rPr>
        <w:t xml:space="preserve">DBIR projects differ from </w:t>
      </w:r>
      <w:r w:rsidR="00F605EE">
        <w:rPr>
          <w:rFonts w:cs="Arial"/>
        </w:rPr>
        <w:t>traditional large-scale and design-based research</w:t>
      </w:r>
      <w:r w:rsidR="00813DBD">
        <w:rPr>
          <w:rFonts w:cs="Arial"/>
        </w:rPr>
        <w:t xml:space="preserve"> in </w:t>
      </w:r>
      <w:proofErr w:type="gramStart"/>
      <w:r w:rsidR="00813DBD">
        <w:rPr>
          <w:rFonts w:cs="Arial"/>
        </w:rPr>
        <w:t>a number of</w:t>
      </w:r>
      <w:proofErr w:type="gramEnd"/>
      <w:r w:rsidR="00813DBD">
        <w:rPr>
          <w:rFonts w:cs="Arial"/>
        </w:rPr>
        <w:t xml:space="preserve"> ways. </w:t>
      </w:r>
      <w:r w:rsidR="00123BCA">
        <w:t xml:space="preserve">DBIR projects </w:t>
      </w:r>
      <w:r w:rsidR="00B444DA">
        <w:t xml:space="preserve">seek to make strategic investments </w:t>
      </w:r>
      <w:r w:rsidR="008707C0">
        <w:t>that will improve both our understanding of diverse</w:t>
      </w:r>
      <w:r w:rsidR="00B444DA">
        <w:t xml:space="preserve"> </w:t>
      </w:r>
      <w:r w:rsidR="00710466">
        <w:t>educational systems</w:t>
      </w:r>
      <w:r w:rsidR="00CF66AE">
        <w:t xml:space="preserve"> and the ability of those systems to </w:t>
      </w:r>
      <w:r w:rsidR="00354D3F">
        <w:t xml:space="preserve">scaffold </w:t>
      </w:r>
      <w:r w:rsidR="00354D3F">
        <w:lastRenderedPageBreak/>
        <w:t xml:space="preserve">students’ three-dimensional engagement with phenomena. </w:t>
      </w:r>
      <w:r w:rsidR="00813DBD">
        <w:t xml:space="preserve">We describe three </w:t>
      </w:r>
      <w:r w:rsidR="00172100">
        <w:t>essential research and design goals</w:t>
      </w:r>
      <w:r w:rsidR="00813DBD">
        <w:t xml:space="preserve"> below. </w:t>
      </w:r>
    </w:p>
    <w:p w14:paraId="25D400C2" w14:textId="421648F5" w:rsidR="00A0333A" w:rsidRPr="00FA7078" w:rsidRDefault="00A0333A">
      <w:pPr>
        <w:pStyle w:val="standard"/>
        <w:rPr>
          <w:color w:val="FF0000"/>
        </w:rPr>
      </w:pPr>
      <w:r>
        <w:rPr>
          <w:b/>
        </w:rPr>
        <w:t>1. Designing curricula as flexible “tool kits”</w:t>
      </w:r>
      <w:r w:rsidR="005A3E91">
        <w:rPr>
          <w:b/>
        </w:rPr>
        <w:t xml:space="preserve"> for three-dimensional sensemaking.</w:t>
      </w:r>
      <w:r w:rsidR="0013006D">
        <w:rPr>
          <w:b/>
        </w:rPr>
        <w:t xml:space="preserve"> </w:t>
      </w:r>
      <w:r>
        <w:rPr>
          <w:b/>
        </w:rPr>
        <w:t xml:space="preserve"> </w:t>
      </w:r>
      <w:r w:rsidR="0026752D">
        <w:t xml:space="preserve">The </w:t>
      </w:r>
      <w:r w:rsidR="00772DB4">
        <w:t xml:space="preserve">NGSS </w:t>
      </w:r>
      <w:r w:rsidR="00DA7C90">
        <w:t xml:space="preserve">define </w:t>
      </w:r>
      <w:r w:rsidR="009D43CA">
        <w:t xml:space="preserve">goals </w:t>
      </w:r>
      <w:r w:rsidR="00FF228C">
        <w:t xml:space="preserve">for science literacy </w:t>
      </w:r>
      <w:r w:rsidR="007A5833">
        <w:t xml:space="preserve">in terms of </w:t>
      </w:r>
      <w:r w:rsidR="00B34EC3">
        <w:t xml:space="preserve">performance expectations </w:t>
      </w:r>
      <w:r w:rsidR="002E653D">
        <w:t xml:space="preserve">that involve </w:t>
      </w:r>
      <w:r w:rsidR="002E653D">
        <w:rPr>
          <w:i/>
        </w:rPr>
        <w:t>three-dimensional sensemaking about phenomena:</w:t>
      </w:r>
      <w:r w:rsidR="00566AFB">
        <w:t xml:space="preserve"> </w:t>
      </w:r>
      <w:r w:rsidR="001E4960">
        <w:t xml:space="preserve">Ways that students </w:t>
      </w:r>
      <w:r w:rsidR="00115F83">
        <w:t xml:space="preserve">can </w:t>
      </w:r>
      <w:r w:rsidR="008336BF">
        <w:t xml:space="preserve">engage with phenomena </w:t>
      </w:r>
      <w:r w:rsidR="00BC055C">
        <w:t xml:space="preserve">through science and engineering practices, crosscutting concepts, and disciplinary core ideas. </w:t>
      </w:r>
      <w:r w:rsidR="00546057">
        <w:t xml:space="preserve">A substantial body of design-based research </w:t>
      </w:r>
      <w:r w:rsidR="00D47E60">
        <w:t>focuses on developing curricul</w:t>
      </w:r>
      <w:r w:rsidR="00BB3F3A">
        <w:t>ar resources that</w:t>
      </w:r>
      <w:r w:rsidR="00D47E60">
        <w:t xml:space="preserve"> support</w:t>
      </w:r>
      <w:r w:rsidR="00675DF2">
        <w:t xml:space="preserve"> these </w:t>
      </w:r>
      <w:r w:rsidR="007B7CD1">
        <w:t>goals in classrooms</w:t>
      </w:r>
      <w:r w:rsidR="0076552F" w:rsidRPr="0076552F">
        <w:t xml:space="preserve"> (e.g., </w:t>
      </w:r>
      <w:proofErr w:type="spellStart"/>
      <w:r w:rsidR="0076552F" w:rsidRPr="0076552F">
        <w:t>Furtak</w:t>
      </w:r>
      <w:proofErr w:type="spellEnd"/>
      <w:r w:rsidR="0076552F" w:rsidRPr="0076552F">
        <w:t xml:space="preserve"> &amp; Penuel, 2019;</w:t>
      </w:r>
      <w:r w:rsidR="007D6776">
        <w:t xml:space="preserve"> </w:t>
      </w:r>
      <w:r w:rsidR="00336E8D">
        <w:t>Kang et al., 2014;</w:t>
      </w:r>
      <w:r w:rsidR="0076552F" w:rsidRPr="0076552F">
        <w:t xml:space="preserve"> </w:t>
      </w:r>
      <w:r w:rsidR="0091647D">
        <w:t xml:space="preserve">National Research Council, </w:t>
      </w:r>
      <w:r w:rsidR="00AF3457">
        <w:t>2015</w:t>
      </w:r>
      <w:r w:rsidR="00764A2A">
        <w:t xml:space="preserve">, </w:t>
      </w:r>
      <w:r w:rsidR="0091647D">
        <w:t>201</w:t>
      </w:r>
      <w:r w:rsidR="002B0FF8">
        <w:t>8</w:t>
      </w:r>
      <w:r w:rsidR="0076552F" w:rsidRPr="0076552F">
        <w:t xml:space="preserve">; </w:t>
      </w:r>
      <w:proofErr w:type="spellStart"/>
      <w:r w:rsidR="0076552F" w:rsidRPr="0076552F">
        <w:t>OpenSciEd</w:t>
      </w:r>
      <w:proofErr w:type="spellEnd"/>
      <w:r w:rsidR="0076552F" w:rsidRPr="0076552F">
        <w:t xml:space="preserve">, 2020; Penuel &amp; Reiser, 2018). </w:t>
      </w:r>
      <w:r w:rsidR="0068439F">
        <w:t xml:space="preserve">These </w:t>
      </w:r>
      <w:r w:rsidR="005B3DA7">
        <w:t xml:space="preserve">resources are </w:t>
      </w:r>
      <w:r>
        <w:t>built around an NGSS-based core goal—assessing and scaffolding students’ three-dimensional engagement with phenomena—while enabling individual teachers to respond to their students in rigorous and responsive ways.</w:t>
      </w:r>
    </w:p>
    <w:p w14:paraId="78A5FBD2" w14:textId="3AAFDE39" w:rsidR="00C91E88" w:rsidRPr="00E71B78" w:rsidRDefault="00A0333A">
      <w:pPr>
        <w:pStyle w:val="standard"/>
        <w:rPr>
          <w:b/>
          <w:i/>
          <w:color w:val="000000" w:themeColor="text1"/>
        </w:rPr>
      </w:pPr>
      <w:r>
        <w:rPr>
          <w:b/>
        </w:rPr>
        <w:t>2</w:t>
      </w:r>
      <w:r w:rsidR="00C91E88">
        <w:rPr>
          <w:b/>
        </w:rPr>
        <w:t xml:space="preserve">. </w:t>
      </w:r>
      <w:r w:rsidR="00A53525">
        <w:rPr>
          <w:b/>
        </w:rPr>
        <w:t xml:space="preserve">Supporting schools as learning organizations. </w:t>
      </w:r>
      <w:r w:rsidR="00336B34">
        <w:t xml:space="preserve">The schools, teachers, and students in the middle of Figure 1 </w:t>
      </w:r>
      <w:r w:rsidR="00645FAF">
        <w:t xml:space="preserve">are </w:t>
      </w:r>
      <w:r w:rsidR="00E2334C">
        <w:t>not just</w:t>
      </w:r>
      <w:r w:rsidR="00991E12">
        <w:t xml:space="preserve"> sources of statistical noise; they</w:t>
      </w:r>
      <w:r w:rsidR="0058534A">
        <w:t xml:space="preserve"> represent people who are actively </w:t>
      </w:r>
      <w:r w:rsidR="004504FA">
        <w:t xml:space="preserve">responding to and shaping </w:t>
      </w:r>
      <w:r w:rsidR="00956040">
        <w:t>their local systems</w:t>
      </w:r>
      <w:r w:rsidR="00B023FF">
        <w:t xml:space="preserve">. </w:t>
      </w:r>
      <w:r w:rsidR="00E411B4" w:rsidRPr="002B4CD6">
        <w:t>Penuel &amp; Fishman (2012, p. 297) “see [in DBIR] a common commitment to building theory and</w:t>
      </w:r>
      <w:r w:rsidR="00E411B4">
        <w:t xml:space="preserve"> </w:t>
      </w:r>
      <w:r w:rsidR="00E411B4" w:rsidRPr="002B4CD6">
        <w:t>knowledge within the research community. The object of that theory is learning, but across scales of a</w:t>
      </w:r>
      <w:r w:rsidR="00E411B4">
        <w:t xml:space="preserve"> </w:t>
      </w:r>
      <w:r w:rsidR="00E411B4" w:rsidRPr="002B4CD6">
        <w:t>system, where ‘learning’</w:t>
      </w:r>
      <w:r w:rsidR="00157ACD">
        <w:t xml:space="preserve"> </w:t>
      </w:r>
      <w:r w:rsidR="00E411B4" w:rsidRPr="002B4CD6">
        <w:t>applies not just to students in classrooms, but to individual adult actors (e.g.,</w:t>
      </w:r>
      <w:r w:rsidR="00E411B4">
        <w:t xml:space="preserve"> </w:t>
      </w:r>
      <w:r w:rsidR="00E411B4" w:rsidRPr="002B4CD6">
        <w:t>teachers, principals), organizational units (e.g., schools, curriculum departments in districts), and systems.”</w:t>
      </w:r>
      <w:r w:rsidR="009D3598">
        <w:rPr>
          <w:color w:val="FF0000"/>
        </w:rPr>
        <w:t xml:space="preserve"> </w:t>
      </w:r>
      <w:r w:rsidR="009D3598" w:rsidRPr="00E71B78">
        <w:rPr>
          <w:color w:val="000000" w:themeColor="text1"/>
        </w:rPr>
        <w:t>Penuel (2019) refers to this process</w:t>
      </w:r>
      <w:r w:rsidR="002313E0">
        <w:rPr>
          <w:color w:val="000000" w:themeColor="text1"/>
        </w:rPr>
        <w:t xml:space="preserve"> of both building knowledge and redesigning systems </w:t>
      </w:r>
      <w:r w:rsidR="000A2F0E">
        <w:rPr>
          <w:color w:val="000000" w:themeColor="text1"/>
        </w:rPr>
        <w:t>at multiple scales</w:t>
      </w:r>
      <w:r w:rsidR="009D3598" w:rsidRPr="00E71B78">
        <w:rPr>
          <w:color w:val="000000" w:themeColor="text1"/>
        </w:rPr>
        <w:t xml:space="preserve"> as </w:t>
      </w:r>
      <w:proofErr w:type="spellStart"/>
      <w:r w:rsidR="008B347B" w:rsidRPr="00E71B78">
        <w:rPr>
          <w:i/>
          <w:iCs/>
          <w:color w:val="000000" w:themeColor="text1"/>
        </w:rPr>
        <w:t>infrastructuring</w:t>
      </w:r>
      <w:proofErr w:type="spellEnd"/>
      <w:r w:rsidR="001879C3">
        <w:rPr>
          <w:i/>
          <w:iCs/>
          <w:color w:val="000000" w:themeColor="text1"/>
        </w:rPr>
        <w:t>.</w:t>
      </w:r>
    </w:p>
    <w:p w14:paraId="4EDEC597" w14:textId="0E41D969" w:rsidR="00A53525" w:rsidRPr="006635DA" w:rsidRDefault="00A53525">
      <w:pPr>
        <w:pStyle w:val="standard"/>
        <w:rPr>
          <w:color w:val="FF0000"/>
        </w:rPr>
      </w:pPr>
      <w:r>
        <w:rPr>
          <w:b/>
        </w:rPr>
        <w:t xml:space="preserve">3. </w:t>
      </w:r>
      <w:r w:rsidR="00C5224C">
        <w:rPr>
          <w:b/>
        </w:rPr>
        <w:t xml:space="preserve">Two-way learning in research-practice partnerships. </w:t>
      </w:r>
      <w:r w:rsidR="00A85136">
        <w:t xml:space="preserve"> Finally</w:t>
      </w:r>
      <w:r w:rsidR="00AE17D6">
        <w:t>, we note that</w:t>
      </w:r>
      <w:r w:rsidR="001879C3">
        <w:t xml:space="preserve"> while</w:t>
      </w:r>
      <w:r w:rsidR="00AE17D6">
        <w:t xml:space="preserve"> the arrows in Figure 1 all go one way, </w:t>
      </w:r>
      <w:r w:rsidR="00420E81">
        <w:t xml:space="preserve">from curricula to classrooms to student learning outcomes, </w:t>
      </w:r>
      <w:r w:rsidR="000846F4">
        <w:lastRenderedPageBreak/>
        <w:t xml:space="preserve">DBIR research is </w:t>
      </w:r>
      <w:r w:rsidR="00B257FC">
        <w:t xml:space="preserve">built around the </w:t>
      </w:r>
      <w:r w:rsidR="00B90855">
        <w:t xml:space="preserve">conviction that </w:t>
      </w:r>
      <w:r w:rsidR="00D6272D">
        <w:t>what researchers learn from teachers is at least as important as what teachers learn f</w:t>
      </w:r>
      <w:r w:rsidR="006635DA">
        <w:t>rom researchers.</w:t>
      </w:r>
      <w:r w:rsidR="003654DF">
        <w:t xml:space="preserve"> </w:t>
      </w:r>
      <w:r w:rsidR="003654DF" w:rsidRPr="003654DF">
        <w:t xml:space="preserve">In </w:t>
      </w:r>
      <w:r w:rsidR="00CC4250">
        <w:t>research-practice</w:t>
      </w:r>
      <w:r w:rsidR="003654DF" w:rsidRPr="003654DF">
        <w:t xml:space="preserve"> partnerships</w:t>
      </w:r>
      <w:r w:rsidR="00CC4250">
        <w:t xml:space="preserve"> </w:t>
      </w:r>
      <w:r w:rsidR="003654DF" w:rsidRPr="003654DF">
        <w:t>there is a two-way street between researchers and practitioners, such that researchers,</w:t>
      </w:r>
      <w:r w:rsidR="003C55E2">
        <w:t xml:space="preserve"> </w:t>
      </w:r>
      <w:r w:rsidR="003654DF" w:rsidRPr="003654DF">
        <w:t>teachers, and administrators play essential but complementary roles (</w:t>
      </w:r>
      <w:r w:rsidR="00CC4250">
        <w:t xml:space="preserve">Anderson, et al., </w:t>
      </w:r>
      <w:r w:rsidR="00CC4250">
        <w:t xml:space="preserve">2018; </w:t>
      </w:r>
      <w:r w:rsidR="003654DF" w:rsidRPr="003654DF">
        <w:t>Tseng</w:t>
      </w:r>
      <w:r w:rsidR="00681217">
        <w:t xml:space="preserve"> et al.</w:t>
      </w:r>
      <w:r w:rsidR="003654DF" w:rsidRPr="003654DF">
        <w:t xml:space="preserve">, </w:t>
      </w:r>
      <w:r w:rsidR="003654DF" w:rsidRPr="003654DF">
        <w:t>2017).</w:t>
      </w:r>
      <w:r w:rsidR="006635DA">
        <w:t xml:space="preserve"> </w:t>
      </w:r>
      <w:r w:rsidR="0023275A" w:rsidRPr="0023275A">
        <w:t>This is the hard work that requires new kinds of understanding— both for</w:t>
      </w:r>
      <w:r w:rsidR="008C6B28">
        <w:t xml:space="preserve"> </w:t>
      </w:r>
      <w:r w:rsidR="0023275A" w:rsidRPr="0023275A">
        <w:t>teachers and for researchers, a kind of “practice-based evidence” that can develop only through iterative</w:t>
      </w:r>
      <w:r w:rsidR="008C6B28">
        <w:t xml:space="preserve"> </w:t>
      </w:r>
      <w:r w:rsidR="0023275A" w:rsidRPr="0023275A">
        <w:t>cycles of design research conducted in partnership between researchers and practitioners (Bryk</w:t>
      </w:r>
      <w:r w:rsidR="008C6B28">
        <w:t xml:space="preserve"> </w:t>
      </w:r>
      <w:r w:rsidR="0023275A" w:rsidRPr="0023275A">
        <w:t>et al., 2015).</w:t>
      </w:r>
      <w:r w:rsidR="006635DA">
        <w:t xml:space="preserve"> </w:t>
      </w:r>
    </w:p>
    <w:p w14:paraId="5EA914A5" w14:textId="0F3E5615" w:rsidR="00AA38D1" w:rsidRPr="004607C3" w:rsidRDefault="00AA38D1" w:rsidP="004607C3">
      <w:pPr>
        <w:pStyle w:val="Heading2"/>
      </w:pPr>
      <w:bookmarkStart w:id="10" w:name="_Toc67662781"/>
      <w:bookmarkStart w:id="11" w:name="_Toc71207804"/>
      <w:r w:rsidRPr="00215417">
        <w:rPr>
          <w:i/>
          <w:iCs/>
        </w:rPr>
        <w:t>Carbon TIME</w:t>
      </w:r>
      <w:r w:rsidRPr="004607C3">
        <w:t xml:space="preserve"> as Design-based Implementation Research</w:t>
      </w:r>
      <w:bookmarkEnd w:id="10"/>
      <w:bookmarkEnd w:id="11"/>
    </w:p>
    <w:p w14:paraId="5FBAC06D" w14:textId="55A67154" w:rsidR="00DF5D77" w:rsidRDefault="007B40B9" w:rsidP="00503271">
      <w:pPr>
        <w:pStyle w:val="standard"/>
      </w:pPr>
      <w:r>
        <w:t>In this article we report</w:t>
      </w:r>
      <w:r w:rsidR="00155F9A">
        <w:t xml:space="preserve"> analyses of quantitative</w:t>
      </w:r>
      <w:r>
        <w:t xml:space="preserve"> data from t</w:t>
      </w:r>
      <w:r w:rsidR="00BD5E7A" w:rsidRPr="00BD5E7A">
        <w:t xml:space="preserve">he </w:t>
      </w:r>
      <w:r w:rsidR="00BD5E7A" w:rsidRPr="00BD5E7A">
        <w:rPr>
          <w:i/>
          <w:iCs/>
        </w:rPr>
        <w:t>Carbon TIME</w:t>
      </w:r>
      <w:r w:rsidR="00BD5E7A" w:rsidRPr="00BD5E7A">
        <w:t xml:space="preserve"> project (</w:t>
      </w:r>
      <w:hyperlink r:id="rId13" w:history="1">
        <w:r w:rsidR="00BD5E7A" w:rsidRPr="00BD5E7A">
          <w:rPr>
            <w:rStyle w:val="Hyperlink"/>
          </w:rPr>
          <w:t>https://carbontime.bscs.org/</w:t>
        </w:r>
      </w:hyperlink>
      <w:r w:rsidR="00BD5E7A" w:rsidRPr="00BD5E7A">
        <w:t>)</w:t>
      </w:r>
      <w:r w:rsidR="00AC3BF6">
        <w:t>,</w:t>
      </w:r>
      <w:r w:rsidR="00AC3BF6">
        <w:t xml:space="preserve"> </w:t>
      </w:r>
      <w:r w:rsidR="00575D20">
        <w:t>a DBIR project</w:t>
      </w:r>
      <w:r w:rsidR="00291CFF">
        <w:t xml:space="preserve"> </w:t>
      </w:r>
      <w:r w:rsidR="00DC1C2A">
        <w:t>enacted in 99 schools in multiple states.</w:t>
      </w:r>
      <w:r w:rsidR="003A6E15">
        <w:t xml:space="preserve"> </w:t>
      </w:r>
      <w:r w:rsidR="00DF5D77">
        <w:t>This project is the culmination of a research program that began in 2004 with a project to develop learning progressions leading to environmental science literacy.</w:t>
      </w:r>
      <w:r w:rsidR="00DF5D77" w:rsidRPr="00DF5D77">
        <w:t xml:space="preserve"> Our early learning progression work was used to develop the NRC </w:t>
      </w:r>
      <w:r w:rsidR="00DF5D77" w:rsidRPr="00DF5D77">
        <w:rPr>
          <w:i/>
          <w:iCs/>
        </w:rPr>
        <w:t>Framework,</w:t>
      </w:r>
      <w:r w:rsidR="00DF5D77" w:rsidRPr="00DF5D77">
        <w:t xml:space="preserve"> and is cited in that document (</w:t>
      </w:r>
      <w:r w:rsidR="00DF5D77" w:rsidRPr="00DF5D77">
        <w:t>Anderson, 2010</w:t>
      </w:r>
      <w:r w:rsidR="00B511B4">
        <w:t>;</w:t>
      </w:r>
      <w:r w:rsidR="00DF5D77" w:rsidRPr="00DF5D77">
        <w:t xml:space="preserve"> Mohan</w:t>
      </w:r>
      <w:r w:rsidR="00C02CA6">
        <w:t xml:space="preserve"> et al.</w:t>
      </w:r>
      <w:r w:rsidR="00DF5D77" w:rsidRPr="00DF5D77">
        <w:t>, 2009; Smith et al.,</w:t>
      </w:r>
      <w:r w:rsidR="00DF5D77" w:rsidRPr="00DF5D77">
        <w:t xml:space="preserve"> 2006).</w:t>
      </w:r>
    </w:p>
    <w:p w14:paraId="782793D6" w14:textId="6D568778" w:rsidR="00DF5D77" w:rsidRDefault="00DF5D77" w:rsidP="00503271">
      <w:pPr>
        <w:pStyle w:val="standard"/>
      </w:pPr>
      <w:r w:rsidRPr="00DF5D77">
        <w:t>This learning progression research provide</w:t>
      </w:r>
      <w:r>
        <w:t>d</w:t>
      </w:r>
      <w:r w:rsidRPr="00DF5D77">
        <w:t xml:space="preserve"> the foundation for subsequent work in instructional design, assessment development, and professional development. Beginning in 2007, we have engaged in ten cycles of curriculum design, implementation, assessment, and revision, always using learning progression-based assessments and close work with participating teachers to inform the revision process (2007, 2008, 2009, 2010, 2011, 2012, 2015, 2016, 2017, 2018).  The first six cycles were funded by previous grants for learning progression and </w:t>
      </w:r>
      <w:r w:rsidR="009960B4">
        <w:t>design-based</w:t>
      </w:r>
      <w:r w:rsidRPr="00DF5D77">
        <w:t xml:space="preserve"> research; the last four cycles were part of the current DBIR project.</w:t>
      </w:r>
      <w:r w:rsidR="009960B4">
        <w:t xml:space="preserve"> </w:t>
      </w:r>
      <w:r w:rsidR="009960B4" w:rsidRPr="009960B4">
        <w:t xml:space="preserve">The primary data driving the revision process came from our case studies, in which almost every staff member on our project </w:t>
      </w:r>
      <w:r w:rsidR="009960B4" w:rsidRPr="009960B4">
        <w:lastRenderedPageBreak/>
        <w:t>acted as a case study coach, visiting and videotaping classes of volunteer teachers, interviewing the teachers and their students, and discussing their observations with one another and other project staff.</w:t>
      </w:r>
      <w:r w:rsidR="009960B4">
        <w:t xml:space="preserve"> </w:t>
      </w:r>
      <w:proofErr w:type="spellStart"/>
      <w:r w:rsidR="006865AB">
        <w:t>Covitt</w:t>
      </w:r>
      <w:proofErr w:type="spellEnd"/>
      <w:r w:rsidR="006865AB">
        <w:t>, et al.</w:t>
      </w:r>
      <w:r w:rsidR="006865AB">
        <w:t xml:space="preserve"> (in preparation) reports on a detailed analysis of these case study data</w:t>
      </w:r>
      <w:r w:rsidR="00B1098D">
        <w:t>; an abstract of this article is included in the supplementary materials</w:t>
      </w:r>
      <w:r w:rsidR="006865AB">
        <w:t>.</w:t>
      </w:r>
    </w:p>
    <w:p w14:paraId="275E4C55" w14:textId="7E583FB1" w:rsidR="006D0DA8" w:rsidRDefault="006865AB" w:rsidP="00503271">
      <w:pPr>
        <w:pStyle w:val="standard"/>
      </w:pPr>
      <w:r>
        <w:t xml:space="preserve">One important insight from our learning progression and design-based research was that “scaling up” involved much more than doing design-based research on a larger scale. This led to our current DBIR project, which includes a focus on emergent properties of larger educational systems. A previous article in this journal identifies two key </w:t>
      </w:r>
      <w:r w:rsidR="001C5398">
        <w:t>design challenges</w:t>
      </w:r>
      <w:r>
        <w:t>: “</w:t>
      </w:r>
      <w:r w:rsidRPr="003D4B59">
        <w:t>scale</w:t>
      </w:r>
      <w:r w:rsidRPr="003D4B59">
        <w:rPr>
          <w:rFonts w:ascii="Helvetica" w:hAnsi="Helvetica"/>
        </w:rPr>
        <w:t>—</w:t>
      </w:r>
      <w:r w:rsidRPr="003D4B59">
        <w:t>the</w:t>
      </w:r>
      <w:r>
        <w:rPr>
          <w:sz w:val="15"/>
          <w:szCs w:val="15"/>
        </w:rPr>
        <w:t xml:space="preserve"> </w:t>
      </w:r>
      <w:r w:rsidRPr="003D4B59">
        <w:t>necessity of change at multiple scales in educational systems;</w:t>
      </w:r>
      <w:r>
        <w:rPr>
          <w:sz w:val="15"/>
          <w:szCs w:val="15"/>
        </w:rPr>
        <w:t xml:space="preserve"> </w:t>
      </w:r>
      <w:r w:rsidRPr="003D4B59">
        <w:t>and diversity</w:t>
      </w:r>
      <w:r w:rsidRPr="003D4B59">
        <w:rPr>
          <w:rFonts w:ascii="Helvetica" w:hAnsi="Helvetica"/>
        </w:rPr>
        <w:t>—</w:t>
      </w:r>
      <w:r w:rsidRPr="003D4B59">
        <w:t>achieving rigor in our expectations</w:t>
      </w:r>
      <w:r>
        <w:rPr>
          <w:sz w:val="15"/>
          <w:szCs w:val="15"/>
        </w:rPr>
        <w:t xml:space="preserve"> </w:t>
      </w:r>
      <w:r w:rsidRPr="003D4B59">
        <w:t>with responsiveness to the enduring diversity of our</w:t>
      </w:r>
      <w:r>
        <w:rPr>
          <w:sz w:val="15"/>
          <w:szCs w:val="15"/>
        </w:rPr>
        <w:t xml:space="preserve"> </w:t>
      </w:r>
      <w:r w:rsidRPr="003D4B59">
        <w:t>students, classrooms, and schools</w:t>
      </w:r>
      <w:r>
        <w:t>”</w:t>
      </w:r>
      <w:r w:rsidR="00C2387D">
        <w:t xml:space="preserve"> </w:t>
      </w:r>
      <w:r w:rsidRPr="00BD5E7A">
        <w:t>(</w:t>
      </w:r>
      <w:r w:rsidRPr="00BD5E7A">
        <w:t>Anderson et al.,</w:t>
      </w:r>
      <w:r w:rsidRPr="00BD5E7A">
        <w:t xml:space="preserve"> 2018</w:t>
      </w:r>
      <w:r>
        <w:t xml:space="preserve">, p. 1026). </w:t>
      </w:r>
      <w:r w:rsidR="001C5398">
        <w:t>T</w:t>
      </w:r>
      <w:r w:rsidR="000B5090">
        <w:t xml:space="preserve">his project </w:t>
      </w:r>
      <w:r w:rsidR="007E46A5">
        <w:t xml:space="preserve">has each of the features of </w:t>
      </w:r>
      <w:r w:rsidR="00390AB8">
        <w:t>DBIR discussed above</w:t>
      </w:r>
      <w:r w:rsidR="0058512F" w:rsidRPr="00BD5E7A">
        <w:t>.</w:t>
      </w:r>
    </w:p>
    <w:p w14:paraId="75B909BE" w14:textId="7576254B" w:rsidR="006D0DA8" w:rsidRDefault="00107A90" w:rsidP="00C272AD">
      <w:pPr>
        <w:pStyle w:val="standard"/>
        <w:numPr>
          <w:ilvl w:val="0"/>
          <w:numId w:val="29"/>
        </w:numPr>
      </w:pPr>
      <w:r>
        <w:rPr>
          <w:i/>
          <w:iCs/>
        </w:rPr>
        <w:t>Designing curricula as flexible tool kits</w:t>
      </w:r>
      <w:r w:rsidR="009C41AD">
        <w:rPr>
          <w:i/>
          <w:iCs/>
        </w:rPr>
        <w:t xml:space="preserve">. </w:t>
      </w:r>
      <w:r w:rsidR="00CF3403">
        <w:t xml:space="preserve">Through an iterative development </w:t>
      </w:r>
      <w:r w:rsidR="0075049A">
        <w:t>process,</w:t>
      </w:r>
      <w:r w:rsidR="00CF3403">
        <w:t xml:space="preserve"> we developed six instructional units</w:t>
      </w:r>
      <w:r w:rsidR="00801772">
        <w:t xml:space="preserve"> and classroom assessments</w:t>
      </w:r>
      <w:r w:rsidR="00CF3403">
        <w:t xml:space="preserve"> </w:t>
      </w:r>
      <w:r w:rsidR="00103D2D">
        <w:t>focused on developing curriculum, assessments, and professional development resources that support middle- and high-school students’</w:t>
      </w:r>
      <w:r w:rsidR="001C73BD">
        <w:rPr>
          <w:rStyle w:val="FootnoteReference"/>
        </w:rPr>
        <w:footnoteReference w:id="2"/>
      </w:r>
      <w:r w:rsidR="00103D2D">
        <w:t xml:space="preserve"> three-dimensional sensemaking about </w:t>
      </w:r>
      <w:r w:rsidR="00103D2D" w:rsidRPr="00BD5E7A">
        <w:t>carbon cycling at multiple scales</w:t>
      </w:r>
      <w:r w:rsidR="00103D2D">
        <w:t>, from atomic-molecular to global</w:t>
      </w:r>
      <w:r w:rsidR="00BD7682">
        <w:t xml:space="preserve"> (see</w:t>
      </w:r>
      <w:r w:rsidR="008B6E1B">
        <w:t xml:space="preserve"> </w:t>
      </w:r>
      <w:proofErr w:type="spellStart"/>
      <w:r w:rsidR="008B6E1B">
        <w:t>Covitt</w:t>
      </w:r>
      <w:proofErr w:type="spellEnd"/>
      <w:r w:rsidR="008B6E1B">
        <w:t xml:space="preserve"> &amp; Anderson, 2018;</w:t>
      </w:r>
      <w:r w:rsidR="00BD7682">
        <w:t xml:space="preserve"> </w:t>
      </w:r>
      <w:r w:rsidR="00021D9D">
        <w:t xml:space="preserve">Dauer, Doherty, Freed, &amp; Anderson, 2014; </w:t>
      </w:r>
      <w:r w:rsidR="00810851">
        <w:t>Dauer, Miller, &amp; Anderson</w:t>
      </w:r>
      <w:r w:rsidR="004605AE">
        <w:t>, 2014; Miller &amp; Anderson, 2017</w:t>
      </w:r>
      <w:r w:rsidR="004605AE">
        <w:t>).</w:t>
      </w:r>
    </w:p>
    <w:p w14:paraId="24BB2E9E" w14:textId="1AD49A87" w:rsidR="009D664D" w:rsidRDefault="00B05363" w:rsidP="00C272AD">
      <w:pPr>
        <w:pStyle w:val="standard"/>
        <w:numPr>
          <w:ilvl w:val="0"/>
          <w:numId w:val="29"/>
        </w:numPr>
      </w:pPr>
      <w:r>
        <w:rPr>
          <w:i/>
          <w:iCs/>
        </w:rPr>
        <w:t>Supporting professional</w:t>
      </w:r>
      <w:r w:rsidR="003C4E24">
        <w:rPr>
          <w:i/>
          <w:iCs/>
        </w:rPr>
        <w:t xml:space="preserve"> and organizational</w:t>
      </w:r>
      <w:r>
        <w:rPr>
          <w:i/>
          <w:iCs/>
        </w:rPr>
        <w:t xml:space="preserve"> learning: </w:t>
      </w:r>
      <w:r w:rsidR="002C2A55">
        <w:t xml:space="preserve">As described in </w:t>
      </w:r>
      <w:r w:rsidR="002C2A55">
        <w:t>Anderson et al.</w:t>
      </w:r>
      <w:r w:rsidR="002C2A55">
        <w:t xml:space="preserve"> (2018)</w:t>
      </w:r>
      <w:r w:rsidR="000B0111">
        <w:t>, the project include</w:t>
      </w:r>
      <w:r w:rsidR="00605B80">
        <w:t>d</w:t>
      </w:r>
      <w:r w:rsidR="000B0111">
        <w:t xml:space="preserve"> </w:t>
      </w:r>
      <w:r w:rsidR="00605B80">
        <w:t>a professional development course of study</w:t>
      </w:r>
      <w:r w:rsidR="00C4011A">
        <w:t>;</w:t>
      </w:r>
      <w:r w:rsidR="0030620F">
        <w:t xml:space="preserve"> work with school partners </w:t>
      </w:r>
      <w:r w:rsidR="0030620F">
        <w:lastRenderedPageBreak/>
        <w:t xml:space="preserve">to </w:t>
      </w:r>
      <w:r w:rsidR="00E56B83" w:rsidRPr="00BD5E7A">
        <w:t xml:space="preserve">build </w:t>
      </w:r>
      <w:r w:rsidR="00E56B83" w:rsidRPr="00BD5E7A">
        <w:rPr>
          <w:iCs/>
        </w:rPr>
        <w:t xml:space="preserve">organizational resources </w:t>
      </w:r>
      <w:r w:rsidR="00E56B83" w:rsidRPr="00BD5E7A">
        <w:t>in participating schools and classrooms</w:t>
      </w:r>
      <w:r w:rsidR="006C064C">
        <w:t>;</w:t>
      </w:r>
      <w:r w:rsidR="00B62FF6">
        <w:t xml:space="preserve"> and </w:t>
      </w:r>
      <w:r w:rsidR="0077355D">
        <w:t>quantitative and qualitative</w:t>
      </w:r>
      <w:r w:rsidR="0011670A">
        <w:t xml:space="preserve"> data collection </w:t>
      </w:r>
      <w:r w:rsidR="009252BC">
        <w:t xml:space="preserve">on </w:t>
      </w:r>
      <w:r w:rsidR="00AE709F">
        <w:t xml:space="preserve">schools and teachers.  </w:t>
      </w:r>
      <w:r w:rsidR="00D23BEB">
        <w:t>We discuss how we analyzed these data below.</w:t>
      </w:r>
    </w:p>
    <w:p w14:paraId="4F98F1D2" w14:textId="7D214A2A" w:rsidR="00D23BEB" w:rsidRDefault="00B05363" w:rsidP="00C272AD">
      <w:pPr>
        <w:pStyle w:val="standard"/>
        <w:numPr>
          <w:ilvl w:val="0"/>
          <w:numId w:val="29"/>
        </w:numPr>
      </w:pPr>
      <w:r>
        <w:rPr>
          <w:i/>
          <w:iCs/>
        </w:rPr>
        <w:t xml:space="preserve">Improvement through </w:t>
      </w:r>
      <w:r w:rsidR="00B67B0E">
        <w:rPr>
          <w:i/>
          <w:iCs/>
        </w:rPr>
        <w:t xml:space="preserve">iterative </w:t>
      </w:r>
      <w:r w:rsidR="00865274">
        <w:rPr>
          <w:i/>
          <w:iCs/>
        </w:rPr>
        <w:t>design cycles</w:t>
      </w:r>
      <w:r w:rsidR="00B67B0E">
        <w:rPr>
          <w:i/>
          <w:iCs/>
        </w:rPr>
        <w:t xml:space="preserve"> research-practice part</w:t>
      </w:r>
      <w:r w:rsidR="0036131A">
        <w:rPr>
          <w:i/>
          <w:iCs/>
        </w:rPr>
        <w:t xml:space="preserve">nerships. </w:t>
      </w:r>
      <w:r w:rsidR="005F6749">
        <w:t xml:space="preserve">The </w:t>
      </w:r>
      <w:r w:rsidR="002B70FA">
        <w:t xml:space="preserve">current </w:t>
      </w:r>
      <w:r w:rsidR="007C3670">
        <w:t xml:space="preserve">versions of the </w:t>
      </w:r>
      <w:r w:rsidR="00E335DF">
        <w:t xml:space="preserve">curriculum units, assessments, and </w:t>
      </w:r>
      <w:r w:rsidR="00BC7569">
        <w:t xml:space="preserve">professional development are </w:t>
      </w:r>
      <w:r w:rsidR="00F736F7">
        <w:t xml:space="preserve">the product of many years of iterative development </w:t>
      </w:r>
      <w:r w:rsidR="001439DB">
        <w:t>involving both teachers and researchers (</w:t>
      </w:r>
      <w:r w:rsidR="001439DB">
        <w:t>Anderson et</w:t>
      </w:r>
      <w:r w:rsidR="00C02CA6">
        <w:t xml:space="preserve"> </w:t>
      </w:r>
      <w:r w:rsidR="001439DB">
        <w:t>al.,</w:t>
      </w:r>
      <w:r w:rsidR="001439DB">
        <w:t xml:space="preserve"> 2</w:t>
      </w:r>
      <w:r w:rsidR="001641C8">
        <w:t xml:space="preserve">018; </w:t>
      </w:r>
      <w:r w:rsidR="00A511B1">
        <w:t xml:space="preserve">Doherty et al., </w:t>
      </w:r>
      <w:r w:rsidR="00CA0BDC">
        <w:t>2015; Thomas et al.,</w:t>
      </w:r>
      <w:r w:rsidR="00CA0BDC">
        <w:t xml:space="preserve"> </w:t>
      </w:r>
      <w:r w:rsidR="000B5090">
        <w:t>2020</w:t>
      </w:r>
      <w:r w:rsidR="00C07BE9">
        <w:t>)</w:t>
      </w:r>
      <w:r w:rsidR="00835FF7">
        <w:t xml:space="preserve">.  </w:t>
      </w:r>
      <w:r w:rsidR="00982707">
        <w:t xml:space="preserve">In this article we report results from </w:t>
      </w:r>
      <w:r w:rsidR="00803BDC">
        <w:t>across</w:t>
      </w:r>
      <w:r w:rsidR="00982707">
        <w:t xml:space="preserve"> </w:t>
      </w:r>
      <w:r w:rsidR="00804E8C">
        <w:t>four years of the study</w:t>
      </w:r>
      <w:r w:rsidR="00191F9C">
        <w:t xml:space="preserve"> (201</w:t>
      </w:r>
      <w:r w:rsidR="00FF67F0">
        <w:t>5</w:t>
      </w:r>
      <w:r w:rsidR="002C28C2">
        <w:t>–20</w:t>
      </w:r>
      <w:r w:rsidR="00FF67F0">
        <w:t>19)</w:t>
      </w:r>
      <w:r w:rsidR="003C2F91">
        <w:t xml:space="preserve">, </w:t>
      </w:r>
      <w:r w:rsidR="00CC7740">
        <w:t xml:space="preserve">and </w:t>
      </w:r>
      <w:r w:rsidR="003C2F91">
        <w:t xml:space="preserve">we </w:t>
      </w:r>
      <w:r w:rsidR="00084D85">
        <w:t>analyze the data for</w:t>
      </w:r>
      <w:r w:rsidR="003A5959">
        <w:t xml:space="preserve"> evidence of improvement over time.</w:t>
      </w:r>
    </w:p>
    <w:p w14:paraId="77FB0563" w14:textId="4530B9F7" w:rsidR="00B1098D" w:rsidRPr="00B1098D" w:rsidRDefault="00B1098D" w:rsidP="00CF5DF6">
      <w:pPr>
        <w:pStyle w:val="standard"/>
      </w:pPr>
      <w:r>
        <w:t xml:space="preserve">The quantitative analyses of student learning in participating classrooms reported in this article focus on these design challenges. Since these analyses </w:t>
      </w:r>
      <w:r w:rsidRPr="009960B4">
        <w:t>were completed after the last revision cycle</w:t>
      </w:r>
      <w:r>
        <w:t>, they did not contribute directly to the iterative revision process described above.</w:t>
      </w:r>
      <w:r w:rsidRPr="009960B4">
        <w:t xml:space="preserve"> </w:t>
      </w:r>
      <w:r w:rsidRPr="009960B4">
        <w:t xml:space="preserve"> </w:t>
      </w:r>
      <w:r w:rsidR="00076F9A">
        <w:t>As described below; we do report analyses examining the effects of that revision process on student learning.</w:t>
      </w:r>
    </w:p>
    <w:p w14:paraId="0CDD7715" w14:textId="03208B79" w:rsidR="00304186" w:rsidRPr="006A633C" w:rsidRDefault="00304186" w:rsidP="006A633C">
      <w:pPr>
        <w:pStyle w:val="Heading1"/>
        <w:keepLines/>
        <w:rPr>
          <w:rFonts w:eastAsia="SimSun"/>
          <w:kern w:val="0"/>
          <w:szCs w:val="24"/>
          <w:lang w:eastAsia="zh-CN"/>
        </w:rPr>
      </w:pPr>
      <w:bookmarkStart w:id="12" w:name="_Toc67662782"/>
      <w:bookmarkStart w:id="13" w:name="_Toc71207805"/>
      <w:r w:rsidRPr="006A633C">
        <w:rPr>
          <w:rFonts w:eastAsia="SimSun"/>
          <w:kern w:val="0"/>
          <w:szCs w:val="24"/>
          <w:lang w:eastAsia="zh-CN"/>
        </w:rPr>
        <w:t>Research Questions</w:t>
      </w:r>
      <w:bookmarkEnd w:id="12"/>
      <w:bookmarkEnd w:id="13"/>
    </w:p>
    <w:p w14:paraId="229DE27D" w14:textId="795B042E" w:rsidR="00891417" w:rsidRDefault="00F06DD5" w:rsidP="00503271">
      <w:pPr>
        <w:pStyle w:val="standard"/>
      </w:pPr>
      <w:r>
        <w:t>Like other</w:t>
      </w:r>
      <w:r w:rsidR="00800649">
        <w:t xml:space="preserve"> DBIR</w:t>
      </w:r>
      <w:r>
        <w:t xml:space="preserve"> projects, </w:t>
      </w:r>
      <w:r w:rsidR="006D2CD7">
        <w:t>this project</w:t>
      </w:r>
      <w:r w:rsidR="00800649">
        <w:t xml:space="preserve"> use</w:t>
      </w:r>
      <w:r w:rsidR="004C25DC">
        <w:t>d</w:t>
      </w:r>
      <w:r w:rsidR="00800649">
        <w:t xml:space="preserve"> both qualitative and quantitative methods. </w:t>
      </w:r>
      <w:r w:rsidR="00AE1DBE">
        <w:t>This article is one of three</w:t>
      </w:r>
      <w:r w:rsidR="00FF43A4">
        <w:t xml:space="preserve"> articles being prepared for submission </w:t>
      </w:r>
      <w:r w:rsidR="005B7F9B">
        <w:t xml:space="preserve">at the conclusion of the project.  The other two articles, </w:t>
      </w:r>
      <w:r w:rsidR="001217E3">
        <w:t xml:space="preserve">described </w:t>
      </w:r>
      <w:r w:rsidR="005B7F9B">
        <w:t xml:space="preserve">briefly in the </w:t>
      </w:r>
      <w:r w:rsidR="0003623E">
        <w:t xml:space="preserve">Discussion </w:t>
      </w:r>
      <w:r w:rsidR="00C262A1">
        <w:t>section below</w:t>
      </w:r>
      <w:r w:rsidR="00C64D42">
        <w:t xml:space="preserve"> and in the online supplemental materials</w:t>
      </w:r>
      <w:r w:rsidR="00C262A1">
        <w:t xml:space="preserve">, focus on </w:t>
      </w:r>
      <w:r w:rsidR="00C262A1">
        <w:t>analyses of</w:t>
      </w:r>
      <w:r w:rsidR="00B36B4A">
        <w:t xml:space="preserve"> </w:t>
      </w:r>
      <w:r w:rsidR="00B36B4A">
        <w:t xml:space="preserve">qualitative </w:t>
      </w:r>
      <w:r w:rsidR="00B36B4A">
        <w:t>data from</w:t>
      </w:r>
      <w:r w:rsidR="00C262A1">
        <w:t xml:space="preserve"> classroom videos</w:t>
      </w:r>
      <w:r w:rsidR="000B5090">
        <w:t xml:space="preserve"> and interviews with teachers</w:t>
      </w:r>
      <w:r w:rsidR="00B36B4A">
        <w:t xml:space="preserve"> and students</w:t>
      </w:r>
      <w:r w:rsidR="00C262A1">
        <w:t xml:space="preserve">.  </w:t>
      </w:r>
      <w:r w:rsidR="000C433F">
        <w:t xml:space="preserve">In this article we report on quantitative analyses of </w:t>
      </w:r>
      <w:r w:rsidR="00A51862">
        <w:t>student learning data</w:t>
      </w:r>
      <w:r w:rsidR="00DA6D66">
        <w:t xml:space="preserve">, including </w:t>
      </w:r>
      <w:r w:rsidR="00DA6D66">
        <w:rPr>
          <w:rFonts w:cs="Arial"/>
        </w:rPr>
        <w:t>differences among students, teachers, and schools</w:t>
      </w:r>
      <w:r w:rsidR="00DA6D66" w:rsidRPr="00CE70AA">
        <w:rPr>
          <w:rFonts w:cs="Arial"/>
        </w:rPr>
        <w:t xml:space="preserve">. </w:t>
      </w:r>
      <w:r w:rsidR="00A51862">
        <w:t xml:space="preserve"> </w:t>
      </w:r>
    </w:p>
    <w:p w14:paraId="1FB7735B" w14:textId="33BC558B" w:rsidR="00AA38D1" w:rsidRDefault="00BF38E1" w:rsidP="006E421C">
      <w:pPr>
        <w:pStyle w:val="standard"/>
      </w:pPr>
      <w:r>
        <w:t xml:space="preserve">In the </w:t>
      </w:r>
      <w:r w:rsidR="006B5412">
        <w:t xml:space="preserve">Methods section below we describe how we developed a </w:t>
      </w:r>
      <w:r w:rsidR="0063061E">
        <w:t>system that enabled us</w:t>
      </w:r>
      <w:r w:rsidR="008F78A7" w:rsidRPr="00CE70AA">
        <w:t xml:space="preserve"> to collect a large database</w:t>
      </w:r>
      <w:r w:rsidR="0063061E">
        <w:t xml:space="preserve"> on student learning</w:t>
      </w:r>
      <w:r w:rsidR="00233EC7">
        <w:t xml:space="preserve">. </w:t>
      </w:r>
      <w:r w:rsidR="00857ABB">
        <w:t>This database is larger</w:t>
      </w:r>
      <w:r w:rsidR="00E50FDB">
        <w:t xml:space="preserve">, and represents a more </w:t>
      </w:r>
      <w:r w:rsidR="00E50FDB">
        <w:lastRenderedPageBreak/>
        <w:t xml:space="preserve">diverse sample of schools, teachers, and students, than any of the </w:t>
      </w:r>
      <w:r w:rsidR="00AF5390">
        <w:t>design-based research studies cited above.</w:t>
      </w:r>
      <w:r w:rsidR="00A511CE">
        <w:t xml:space="preserve"> It differs from other </w:t>
      </w:r>
      <w:r w:rsidR="0096790F">
        <w:t xml:space="preserve">large-scale studies in that it uses credible </w:t>
      </w:r>
      <w:r w:rsidR="004D601D">
        <w:t>measures of students’ three-dimensional learning</w:t>
      </w:r>
      <w:r w:rsidR="0060239C">
        <w:t xml:space="preserve">, and </w:t>
      </w:r>
      <w:r w:rsidR="00B36B4A">
        <w:t xml:space="preserve">in </w:t>
      </w:r>
      <w:r w:rsidR="0060239C">
        <w:t xml:space="preserve">that </w:t>
      </w:r>
      <w:r w:rsidR="000B5090">
        <w:t>the intervention was based on</w:t>
      </w:r>
      <w:r w:rsidR="0060239C">
        <w:t xml:space="preserve"> the three DBIR design goals describe</w:t>
      </w:r>
      <w:r w:rsidR="00DA3C06">
        <w:t>d above.</w:t>
      </w:r>
      <w:r w:rsidR="00AF5390">
        <w:t xml:space="preserve"> </w:t>
      </w:r>
      <w:r w:rsidR="002E78A8">
        <w:t>As described below</w:t>
      </w:r>
      <w:r w:rsidR="005A0AC6">
        <w:t xml:space="preserve"> </w:t>
      </w:r>
      <w:r w:rsidR="008D0ED2">
        <w:t xml:space="preserve">we use hierarchical linear models (HLM) to address </w:t>
      </w:r>
      <w:r w:rsidR="00986F3B">
        <w:t>question</w:t>
      </w:r>
      <w:r w:rsidR="000B5090">
        <w:t>s related to each of these three design goals</w:t>
      </w:r>
      <w:r w:rsidR="00977446">
        <w:t>.</w:t>
      </w:r>
    </w:p>
    <w:p w14:paraId="3E13C41F" w14:textId="2AAF9B2F" w:rsidR="00986F3B" w:rsidRPr="00A75FF5" w:rsidRDefault="00FE2972" w:rsidP="007132B0">
      <w:pPr>
        <w:pStyle w:val="standard"/>
      </w:pPr>
      <w:r>
        <w:rPr>
          <w:b/>
        </w:rPr>
        <w:t xml:space="preserve">Assessing the success of the </w:t>
      </w:r>
      <w:r w:rsidR="00BF0A4A">
        <w:rPr>
          <w:b/>
        </w:rPr>
        <w:t>curricular “tool kit.”</w:t>
      </w:r>
      <w:r w:rsidR="00BF0A4A">
        <w:t xml:space="preserve">  </w:t>
      </w:r>
      <w:r w:rsidR="00833402">
        <w:t xml:space="preserve">As described above, </w:t>
      </w:r>
      <w:r w:rsidR="00A75FF5">
        <w:t xml:space="preserve">one core goal of the </w:t>
      </w:r>
      <w:r w:rsidR="00A75FF5">
        <w:rPr>
          <w:i/>
        </w:rPr>
        <w:t xml:space="preserve">Carbon TIME </w:t>
      </w:r>
      <w:r w:rsidR="00A75FF5">
        <w:t xml:space="preserve">project was to design a flexible </w:t>
      </w:r>
      <w:r w:rsidR="00A714DC">
        <w:t xml:space="preserve">set of curricular resources that </w:t>
      </w:r>
      <w:r w:rsidR="00303155">
        <w:t>teachers and students in diverse schools could use</w:t>
      </w:r>
      <w:r w:rsidR="00C71F49">
        <w:t xml:space="preserve"> to </w:t>
      </w:r>
      <w:r w:rsidR="00DE6D5C">
        <w:t>support three-dimensional learning in their own circumstances</w:t>
      </w:r>
      <w:r w:rsidR="00C8185C">
        <w:t xml:space="preserve">. This leads </w:t>
      </w:r>
      <w:r w:rsidR="008A26E9">
        <w:t>to some very basic questions: Did it work?  If so, how well</w:t>
      </w:r>
      <w:r w:rsidR="000222AA">
        <w:t>, and for which students</w:t>
      </w:r>
      <w:r w:rsidR="008A26E9">
        <w:t>?</w:t>
      </w:r>
      <w:r w:rsidR="006E6FD0">
        <w:t xml:space="preserve">  Research Question 1 addresses </w:t>
      </w:r>
      <w:r w:rsidR="00BA6DA1">
        <w:t>different aspects of those basic questions.</w:t>
      </w:r>
    </w:p>
    <w:p w14:paraId="52B466CA" w14:textId="2DE12E5F" w:rsidR="00B57FF7" w:rsidRPr="00CE70AA" w:rsidRDefault="00356710" w:rsidP="009D2C7F">
      <w:pPr>
        <w:pStyle w:val="ListParagraph"/>
        <w:numPr>
          <w:ilvl w:val="0"/>
          <w:numId w:val="26"/>
        </w:numPr>
        <w:spacing w:after="60" w:line="480" w:lineRule="auto"/>
        <w:rPr>
          <w:rFonts w:cs="Arial"/>
        </w:rPr>
      </w:pPr>
      <w:r>
        <w:rPr>
          <w:rFonts w:cs="Arial"/>
          <w:i/>
          <w:iCs/>
        </w:rPr>
        <w:t xml:space="preserve">Effects of curricular resources: </w:t>
      </w:r>
      <w:r w:rsidR="00B57FF7">
        <w:rPr>
          <w:rFonts w:cs="Arial"/>
        </w:rPr>
        <w:t>H</w:t>
      </w:r>
      <w:r w:rsidR="00B57FF7" w:rsidRPr="00CE70AA">
        <w:rPr>
          <w:rFonts w:cs="Arial"/>
        </w:rPr>
        <w:t xml:space="preserve">ow did </w:t>
      </w:r>
      <w:r w:rsidR="00864479">
        <w:rPr>
          <w:rFonts w:cs="Arial"/>
        </w:rPr>
        <w:t xml:space="preserve">teachers’ </w:t>
      </w:r>
      <w:r w:rsidR="006236A8">
        <w:rPr>
          <w:rFonts w:cs="Arial"/>
        </w:rPr>
        <w:t>participation in</w:t>
      </w:r>
      <w:r w:rsidR="00CD3372">
        <w:rPr>
          <w:rFonts w:cs="Arial"/>
        </w:rPr>
        <w:t xml:space="preserve"> the</w:t>
      </w:r>
      <w:r w:rsidR="00B57FF7" w:rsidRPr="00CE70AA">
        <w:rPr>
          <w:rFonts w:cs="Arial"/>
        </w:rPr>
        <w:t xml:space="preserve"> </w:t>
      </w:r>
      <w:r w:rsidR="00B57FF7" w:rsidRPr="00CE70AA">
        <w:rPr>
          <w:rFonts w:cs="Arial"/>
          <w:i/>
          <w:iCs/>
        </w:rPr>
        <w:t>Carbon TIME</w:t>
      </w:r>
      <w:r w:rsidR="00B57FF7" w:rsidRPr="00CE70AA">
        <w:rPr>
          <w:rFonts w:cs="Arial"/>
        </w:rPr>
        <w:t xml:space="preserve"> </w:t>
      </w:r>
      <w:r w:rsidR="00864479">
        <w:rPr>
          <w:rFonts w:cs="Arial"/>
        </w:rPr>
        <w:t>project</w:t>
      </w:r>
      <w:r w:rsidR="000B5090">
        <w:rPr>
          <w:rFonts w:cs="Arial"/>
        </w:rPr>
        <w:t xml:space="preserve"> </w:t>
      </w:r>
      <w:r w:rsidR="00B57FF7" w:rsidRPr="00CE70AA">
        <w:rPr>
          <w:rFonts w:cs="Arial"/>
        </w:rPr>
        <w:t>affect student learning?</w:t>
      </w:r>
    </w:p>
    <w:p w14:paraId="6DD82E1E" w14:textId="5B2A80A6" w:rsidR="00B57FF7" w:rsidRPr="00CE70AA" w:rsidRDefault="00B57FF7" w:rsidP="009D2C7F">
      <w:pPr>
        <w:pStyle w:val="ListParagraph"/>
        <w:numPr>
          <w:ilvl w:val="1"/>
          <w:numId w:val="26"/>
        </w:numPr>
        <w:spacing w:after="60" w:line="480" w:lineRule="auto"/>
        <w:rPr>
          <w:rFonts w:cs="Arial"/>
        </w:rPr>
      </w:pPr>
      <w:r w:rsidRPr="00CE70AA">
        <w:rPr>
          <w:rFonts w:cs="Arial"/>
        </w:rPr>
        <w:t>How does student learning from</w:t>
      </w:r>
      <w:r w:rsidR="00F91119">
        <w:rPr>
          <w:rFonts w:cs="Arial"/>
        </w:rPr>
        <w:t xml:space="preserve"> </w:t>
      </w:r>
      <w:r w:rsidRPr="00CE70AA">
        <w:rPr>
          <w:rFonts w:cs="Arial"/>
          <w:i/>
          <w:iCs/>
        </w:rPr>
        <w:t>Carbon TIME</w:t>
      </w:r>
      <w:r w:rsidR="00F91119">
        <w:rPr>
          <w:rFonts w:cs="Arial"/>
        </w:rPr>
        <w:t xml:space="preserve"> </w:t>
      </w:r>
      <w:r w:rsidRPr="00CE70AA">
        <w:rPr>
          <w:rFonts w:cs="Arial"/>
        </w:rPr>
        <w:t>compare with student learning from curricula previously used by participating teachers?</w:t>
      </w:r>
    </w:p>
    <w:p w14:paraId="196E33D4" w14:textId="77777777" w:rsidR="00B57FF7" w:rsidRPr="00CE70AA" w:rsidRDefault="00B57FF7" w:rsidP="009D2C7F">
      <w:pPr>
        <w:pStyle w:val="ListParagraph"/>
        <w:numPr>
          <w:ilvl w:val="1"/>
          <w:numId w:val="26"/>
        </w:numPr>
        <w:spacing w:after="60" w:line="480" w:lineRule="auto"/>
        <w:rPr>
          <w:rFonts w:cs="Arial"/>
        </w:rPr>
      </w:pPr>
      <w:r w:rsidRPr="00CE70AA">
        <w:rPr>
          <w:rFonts w:cs="Arial"/>
        </w:rPr>
        <w:t>How is student learning related to pretest scores measuring students’ prior knowledge?</w:t>
      </w:r>
    </w:p>
    <w:p w14:paraId="33C71A77" w14:textId="774BD47B" w:rsidR="00B57FF7" w:rsidRDefault="00B57FF7" w:rsidP="009D2C7F">
      <w:pPr>
        <w:pStyle w:val="ListParagraph"/>
        <w:numPr>
          <w:ilvl w:val="1"/>
          <w:numId w:val="26"/>
        </w:numPr>
        <w:spacing w:after="60" w:line="480" w:lineRule="auto"/>
        <w:rPr>
          <w:rFonts w:cs="Arial"/>
        </w:rPr>
      </w:pPr>
      <w:r w:rsidRPr="00CE70AA">
        <w:rPr>
          <w:rFonts w:cs="Arial"/>
        </w:rPr>
        <w:t>What are the cumulative effects of multiple units of instruction?</w:t>
      </w:r>
    </w:p>
    <w:p w14:paraId="3323767C" w14:textId="59A89FD5" w:rsidR="00BA6DA1" w:rsidRPr="008B39E8" w:rsidRDefault="00163139" w:rsidP="00503271">
      <w:pPr>
        <w:pStyle w:val="standard"/>
      </w:pPr>
      <w:r>
        <w:rPr>
          <w:b/>
          <w:bCs/>
        </w:rPr>
        <w:t xml:space="preserve">Understanding the effects of </w:t>
      </w:r>
      <w:r w:rsidR="008B39E8">
        <w:rPr>
          <w:b/>
          <w:bCs/>
        </w:rPr>
        <w:t>diversity in schools, teachers, and students.</w:t>
      </w:r>
      <w:r w:rsidR="008B39E8">
        <w:t xml:space="preserve"> </w:t>
      </w:r>
      <w:r w:rsidR="009959A3">
        <w:t xml:space="preserve">We can </w:t>
      </w:r>
      <w:r w:rsidR="00A00FE5">
        <w:t>compare learning data from different schools</w:t>
      </w:r>
      <w:r w:rsidR="000222AA">
        <w:t xml:space="preserve"> and</w:t>
      </w:r>
      <w:r w:rsidR="00A00FE5">
        <w:t xml:space="preserve"> classrooms </w:t>
      </w:r>
      <w:r w:rsidR="00FF4A73">
        <w:t>to identify key factors</w:t>
      </w:r>
      <w:r w:rsidR="0040623B">
        <w:t xml:space="preserve"> that</w:t>
      </w:r>
      <w:r w:rsidR="00FF4A73">
        <w:t xml:space="preserve"> </w:t>
      </w:r>
      <w:r w:rsidR="007F37BD">
        <w:t xml:space="preserve">affected students’ learning </w:t>
      </w:r>
      <w:r w:rsidR="0040623B">
        <w:t xml:space="preserve">and estimate their relative importance.  </w:t>
      </w:r>
      <w:r w:rsidR="00F70758">
        <w:t xml:space="preserve">These are key questions </w:t>
      </w:r>
      <w:r w:rsidR="0076274D">
        <w:t xml:space="preserve">that are relevant to the </w:t>
      </w:r>
      <w:r w:rsidR="00CF21C6">
        <w:t xml:space="preserve">second </w:t>
      </w:r>
      <w:r w:rsidR="00A11669">
        <w:t>DBIR</w:t>
      </w:r>
      <w:r w:rsidR="0076274D">
        <w:t xml:space="preserve"> design goal above: If we </w:t>
      </w:r>
      <w:r w:rsidR="000F1B58">
        <w:t xml:space="preserve">need to support schools as learning organizations, what </w:t>
      </w:r>
      <w:r w:rsidR="00E44A1E">
        <w:t xml:space="preserve">issues </w:t>
      </w:r>
      <w:r w:rsidR="009300C2">
        <w:t xml:space="preserve">should we </w:t>
      </w:r>
      <w:r w:rsidR="00E44A1E">
        <w:t xml:space="preserve">address in our </w:t>
      </w:r>
      <w:proofErr w:type="spellStart"/>
      <w:r w:rsidR="00E44A1E">
        <w:t>infrastructuring</w:t>
      </w:r>
      <w:proofErr w:type="spellEnd"/>
      <w:r w:rsidR="00E44A1E">
        <w:t xml:space="preserve"> efforts?  Research Questions 2 and 3 address </w:t>
      </w:r>
      <w:r w:rsidR="00E35826">
        <w:t>these factors.</w:t>
      </w:r>
    </w:p>
    <w:p w14:paraId="784F27E3" w14:textId="77777777" w:rsidR="00B57FF7" w:rsidRPr="00CE70AA" w:rsidRDefault="00B57FF7" w:rsidP="009D2C7F">
      <w:pPr>
        <w:pStyle w:val="ListParagraph"/>
        <w:numPr>
          <w:ilvl w:val="0"/>
          <w:numId w:val="26"/>
        </w:numPr>
        <w:spacing w:after="60" w:line="480" w:lineRule="auto"/>
        <w:rPr>
          <w:rFonts w:cs="Arial"/>
        </w:rPr>
      </w:pPr>
      <w:r w:rsidRPr="00CE70AA">
        <w:rPr>
          <w:rFonts w:cs="Arial"/>
          <w:i/>
          <w:iCs/>
        </w:rPr>
        <w:lastRenderedPageBreak/>
        <w:t>Teachers and school-level variables:</w:t>
      </w:r>
      <w:r w:rsidRPr="00CE70AA">
        <w:rPr>
          <w:rFonts w:cs="Arial"/>
        </w:rPr>
        <w:t xml:space="preserve"> How do differences among teachers and schools affect students’ learning?</w:t>
      </w:r>
    </w:p>
    <w:p w14:paraId="0FBA1572" w14:textId="77777777" w:rsidR="00B57FF7" w:rsidRPr="00CE70AA" w:rsidRDefault="00B57FF7" w:rsidP="009D2C7F">
      <w:pPr>
        <w:pStyle w:val="ListParagraph"/>
        <w:numPr>
          <w:ilvl w:val="1"/>
          <w:numId w:val="26"/>
        </w:numPr>
        <w:spacing w:after="60" w:line="480" w:lineRule="auto"/>
        <w:rPr>
          <w:rFonts w:cs="Arial"/>
        </w:rPr>
      </w:pPr>
      <w:r w:rsidRPr="00CE70AA">
        <w:rPr>
          <w:rFonts w:cs="Arial"/>
        </w:rPr>
        <w:t>How is student learning related to differences among individual teachers and their classrooms?</w:t>
      </w:r>
    </w:p>
    <w:p w14:paraId="70D57221" w14:textId="37016847" w:rsidR="00B57FF7" w:rsidRPr="00CE70AA" w:rsidRDefault="00B57FF7" w:rsidP="009D2C7F">
      <w:pPr>
        <w:pStyle w:val="ListParagraph"/>
        <w:numPr>
          <w:ilvl w:val="1"/>
          <w:numId w:val="26"/>
        </w:numPr>
        <w:spacing w:after="60" w:line="480" w:lineRule="auto"/>
        <w:rPr>
          <w:rFonts w:cs="Arial"/>
        </w:rPr>
      </w:pPr>
      <w:r w:rsidRPr="00CE70AA">
        <w:rPr>
          <w:rFonts w:cs="Arial"/>
        </w:rPr>
        <w:t xml:space="preserve">How can the achievement data be used to </w:t>
      </w:r>
      <w:r w:rsidR="00D12301">
        <w:rPr>
          <w:rFonts w:cs="Arial"/>
        </w:rPr>
        <w:t xml:space="preserve">estimate differences in </w:t>
      </w:r>
      <w:r w:rsidRPr="00CE70AA">
        <w:rPr>
          <w:rFonts w:cs="Arial"/>
        </w:rPr>
        <w:t xml:space="preserve">student learning </w:t>
      </w:r>
      <w:r w:rsidR="00D12301">
        <w:rPr>
          <w:rFonts w:cs="Arial"/>
        </w:rPr>
        <w:t>across</w:t>
      </w:r>
      <w:r w:rsidRPr="00CE70AA">
        <w:rPr>
          <w:rFonts w:cs="Arial"/>
        </w:rPr>
        <w:t xml:space="preserve"> classrooms?</w:t>
      </w:r>
    </w:p>
    <w:p w14:paraId="47885346" w14:textId="77777777" w:rsidR="00B57FF7" w:rsidRPr="00CE70AA" w:rsidRDefault="00B57FF7" w:rsidP="009D2C7F">
      <w:pPr>
        <w:pStyle w:val="ListParagraph"/>
        <w:numPr>
          <w:ilvl w:val="1"/>
          <w:numId w:val="26"/>
        </w:numPr>
        <w:spacing w:after="60" w:line="480" w:lineRule="auto"/>
        <w:rPr>
          <w:rFonts w:cs="Arial"/>
        </w:rPr>
      </w:pPr>
      <w:r w:rsidRPr="00CE70AA">
        <w:rPr>
          <w:rFonts w:cs="Arial"/>
        </w:rPr>
        <w:t>How is student learning related to demographic differences among schools?</w:t>
      </w:r>
    </w:p>
    <w:p w14:paraId="53EF84DD" w14:textId="78C7E52C" w:rsidR="00B57FF7" w:rsidRDefault="00B57FF7" w:rsidP="009D2C7F">
      <w:pPr>
        <w:pStyle w:val="ListParagraph"/>
        <w:numPr>
          <w:ilvl w:val="0"/>
          <w:numId w:val="26"/>
        </w:numPr>
        <w:spacing w:after="60" w:line="480" w:lineRule="auto"/>
        <w:rPr>
          <w:rFonts w:cs="Arial"/>
        </w:rPr>
      </w:pPr>
      <w:r w:rsidRPr="00CE70AA">
        <w:rPr>
          <w:rFonts w:cs="Arial"/>
          <w:i/>
          <w:iCs/>
        </w:rPr>
        <w:t xml:space="preserve">Relative importance of different factors: </w:t>
      </w:r>
      <w:r w:rsidRPr="00CE70AA">
        <w:rPr>
          <w:rFonts w:cs="Arial"/>
        </w:rPr>
        <w:t>Wh</w:t>
      </w:r>
      <w:r>
        <w:rPr>
          <w:rFonts w:cs="Arial"/>
        </w:rPr>
        <w:t>ich</w:t>
      </w:r>
      <w:r w:rsidRPr="00CE70AA">
        <w:rPr>
          <w:rFonts w:cs="Arial"/>
        </w:rPr>
        <w:t xml:space="preserve"> factors had the largest effects on students’ learning?</w:t>
      </w:r>
    </w:p>
    <w:p w14:paraId="27AFB9AE" w14:textId="2D00C029" w:rsidR="00E35826" w:rsidRPr="00E833E3" w:rsidRDefault="00E833E3" w:rsidP="00503271">
      <w:pPr>
        <w:pStyle w:val="standard"/>
      </w:pPr>
      <w:r>
        <w:rPr>
          <w:b/>
          <w:bCs/>
        </w:rPr>
        <w:t>Assessing two-way learning through iterative design cycles.</w:t>
      </w:r>
      <w:r>
        <w:t xml:space="preserve"> </w:t>
      </w:r>
      <w:r w:rsidR="00CB4B7B">
        <w:t xml:space="preserve">The third </w:t>
      </w:r>
      <w:r w:rsidR="00A11669">
        <w:t xml:space="preserve">DBIR </w:t>
      </w:r>
      <w:r w:rsidR="007D5BCA">
        <w:t xml:space="preserve">design goal </w:t>
      </w:r>
      <w:r w:rsidR="00726D5B">
        <w:t xml:space="preserve">focuses on how both researchers and school partners </w:t>
      </w:r>
      <w:r w:rsidR="007F0635">
        <w:t>need to</w:t>
      </w:r>
      <w:r w:rsidR="00726D5B">
        <w:t xml:space="preserve"> learn </w:t>
      </w:r>
      <w:r w:rsidR="00FE4FB0">
        <w:t xml:space="preserve">through iterative design cycles. </w:t>
      </w:r>
      <w:r w:rsidR="00D341A6">
        <w:t xml:space="preserve">The project database includes students learning data </w:t>
      </w:r>
      <w:r w:rsidR="001531C8">
        <w:t xml:space="preserve">from four successive years, and most teachers participated in </w:t>
      </w:r>
      <w:r w:rsidR="004D7063">
        <w:t xml:space="preserve">data collection for two years or more.  Our final research question </w:t>
      </w:r>
      <w:r w:rsidR="00EA57E6">
        <w:t xml:space="preserve">addresses evidence </w:t>
      </w:r>
      <w:r w:rsidR="002E5995">
        <w:t xml:space="preserve">about whether curricular resources or </w:t>
      </w:r>
      <w:r w:rsidR="00721A8B">
        <w:t>individual teachers improved over time.</w:t>
      </w:r>
    </w:p>
    <w:p w14:paraId="2FB00D31" w14:textId="2F076923" w:rsidR="009B193B" w:rsidRPr="006A633C" w:rsidRDefault="00B57FF7" w:rsidP="006A633C">
      <w:pPr>
        <w:pStyle w:val="ListParagraph"/>
        <w:numPr>
          <w:ilvl w:val="0"/>
          <w:numId w:val="26"/>
        </w:numPr>
        <w:spacing w:after="60" w:line="480" w:lineRule="auto"/>
        <w:rPr>
          <w:rFonts w:cs="Arial"/>
        </w:rPr>
      </w:pPr>
      <w:r w:rsidRPr="00CE70AA">
        <w:rPr>
          <w:rFonts w:cs="Arial"/>
          <w:i/>
          <w:iCs/>
        </w:rPr>
        <w:t>Sustained investment:</w:t>
      </w:r>
      <w:r w:rsidRPr="00CE70AA">
        <w:rPr>
          <w:rFonts w:cs="Arial"/>
        </w:rPr>
        <w:t xml:space="preserve"> How did student and teacher success change over time?</w:t>
      </w:r>
    </w:p>
    <w:p w14:paraId="605A44F6" w14:textId="77777777" w:rsidR="007A62CF" w:rsidRPr="006A633C" w:rsidRDefault="007A62CF" w:rsidP="006A633C">
      <w:pPr>
        <w:pStyle w:val="Heading1"/>
      </w:pPr>
      <w:bookmarkStart w:id="14" w:name="_Toc67662783"/>
      <w:bookmarkStart w:id="15" w:name="_Toc71207806"/>
      <w:r w:rsidRPr="006A633C">
        <w:t>Methods</w:t>
      </w:r>
      <w:bookmarkEnd w:id="14"/>
      <w:bookmarkEnd w:id="15"/>
    </w:p>
    <w:p w14:paraId="751813E8" w14:textId="71039982" w:rsidR="009D2C7F" w:rsidRDefault="009D2C7F" w:rsidP="006A633C">
      <w:pPr>
        <w:pStyle w:val="Heading2"/>
      </w:pPr>
      <w:bookmarkStart w:id="16" w:name="_Toc67662784"/>
      <w:bookmarkStart w:id="17" w:name="_Toc71207807"/>
      <w:r w:rsidRPr="006A633C">
        <w:rPr>
          <w:rFonts w:hint="eastAsia"/>
        </w:rPr>
        <w:t>P</w:t>
      </w:r>
      <w:r w:rsidRPr="006A633C">
        <w:t>articipants</w:t>
      </w:r>
      <w:bookmarkEnd w:id="16"/>
      <w:bookmarkEnd w:id="17"/>
    </w:p>
    <w:p w14:paraId="32250B2F" w14:textId="0C3575B2" w:rsidR="007E5E2B" w:rsidRPr="007E5E2B" w:rsidRDefault="003132E2" w:rsidP="007E5E2B">
      <w:pPr>
        <w:pStyle w:val="List1"/>
        <w:spacing w:line="480" w:lineRule="auto"/>
        <w:ind w:left="0" w:firstLine="720"/>
        <w:rPr>
          <w:lang w:eastAsia="zh-CN"/>
        </w:rPr>
      </w:pPr>
      <w:r>
        <w:t>In this article we report</w:t>
      </w:r>
      <w:r w:rsidR="009300C2">
        <w:t xml:space="preserve"> analyses of</w:t>
      </w:r>
      <w:r w:rsidR="00D63934">
        <w:t xml:space="preserve"> student assessment</w:t>
      </w:r>
      <w:r>
        <w:t xml:space="preserve"> data </w:t>
      </w:r>
      <w:r w:rsidR="00C339B5">
        <w:t>from the classrooms of 133</w:t>
      </w:r>
      <w:r w:rsidR="00F1384B" w:rsidRPr="006E421C">
        <w:rPr>
          <w:color w:val="FF0000"/>
        </w:rPr>
        <w:t xml:space="preserve"> </w:t>
      </w:r>
      <w:r w:rsidR="007E5E2B">
        <w:t xml:space="preserve">experienced science teachers from public school districts </w:t>
      </w:r>
      <w:r w:rsidR="00C64D42">
        <w:t xml:space="preserve">primarily located in </w:t>
      </w:r>
      <w:r w:rsidR="007E5E2B">
        <w:t>three states (Michigan, Colorado, and Washington).</w:t>
      </w:r>
      <w:r w:rsidR="00C64D42">
        <w:t xml:space="preserve"> The datasets used to address specific research questions are described below.</w:t>
      </w:r>
      <w:r w:rsidR="007E5E2B">
        <w:t xml:space="preserve"> </w:t>
      </w:r>
      <w:r w:rsidR="000C5C3F">
        <w:t>Importantly, these middle and high schools have different policies, curricular contexts, and student body demographics</w:t>
      </w:r>
      <w:r w:rsidR="00B36B4A">
        <w:t xml:space="preserve"> </w:t>
      </w:r>
      <w:r w:rsidR="00B36B4A">
        <w:t>(described in more detail below)</w:t>
      </w:r>
      <w:r w:rsidR="00826BF2">
        <w:t xml:space="preserve"> </w:t>
      </w:r>
      <w:r w:rsidR="00826BF2">
        <w:t xml:space="preserve">enabling us </w:t>
      </w:r>
      <w:r w:rsidR="00826BF2">
        <w:lastRenderedPageBreak/>
        <w:t>to explore implementation in diverse settings</w:t>
      </w:r>
      <w:r w:rsidR="000C5C3F">
        <w:t xml:space="preserve">. </w:t>
      </w:r>
      <w:proofErr w:type="gramStart"/>
      <w:r w:rsidR="007E5E2B">
        <w:t>All of</w:t>
      </w:r>
      <w:proofErr w:type="gramEnd"/>
      <w:r w:rsidR="007E5E2B">
        <w:t xml:space="preserve"> the</w:t>
      </w:r>
      <w:r w:rsidR="000C5C3F">
        <w:t xml:space="preserve"> teachers </w:t>
      </w:r>
      <w:r w:rsidR="000915AA">
        <w:t xml:space="preserve">voluntarily participated in the </w:t>
      </w:r>
      <w:r w:rsidR="000915AA" w:rsidRPr="00C962C2">
        <w:rPr>
          <w:i/>
          <w:iCs/>
        </w:rPr>
        <w:t>Carbon TIME</w:t>
      </w:r>
      <w:r w:rsidR="000915AA">
        <w:t xml:space="preserve"> </w:t>
      </w:r>
      <w:r w:rsidR="000915AA">
        <w:t>project.</w:t>
      </w:r>
      <w:r w:rsidR="00C01A18">
        <w:t xml:space="preserve"> Thus</w:t>
      </w:r>
      <w:r w:rsidR="002A754B">
        <w:t>,</w:t>
      </w:r>
      <w:r w:rsidR="00C01A18">
        <w:t xml:space="preserve"> the teachers were </w:t>
      </w:r>
      <w:r w:rsidR="00F87514">
        <w:t xml:space="preserve">more experienced and more committed to </w:t>
      </w:r>
      <w:r w:rsidR="006F26B9">
        <w:t xml:space="preserve">research-based science teaching than a representative sample of </w:t>
      </w:r>
      <w:r w:rsidR="005C6262">
        <w:t>US teachers.</w:t>
      </w:r>
      <w:r w:rsidR="00594EE2">
        <w:t xml:space="preserve"> </w:t>
      </w:r>
      <w:r w:rsidR="00A426C8">
        <w:rPr>
          <w:rFonts w:hint="eastAsia"/>
          <w:lang w:eastAsia="zh-CN"/>
        </w:rPr>
        <w:t>T</w:t>
      </w:r>
      <w:r w:rsidR="000915AA">
        <w:t xml:space="preserve">his is a diverse but not </w:t>
      </w:r>
      <w:r w:rsidR="00B36B4A">
        <w:t>random</w:t>
      </w:r>
      <w:r w:rsidR="00B36B4A">
        <w:t xml:space="preserve"> or representative</w:t>
      </w:r>
      <w:r w:rsidR="00B36B4A">
        <w:t xml:space="preserve"> </w:t>
      </w:r>
      <w:r w:rsidR="000915AA">
        <w:t>sample of all science</w:t>
      </w:r>
      <w:r w:rsidR="00195D84">
        <w:t xml:space="preserve"> students and</w:t>
      </w:r>
      <w:r w:rsidR="000915AA">
        <w:t xml:space="preserve"> teachers in the United States. </w:t>
      </w:r>
    </w:p>
    <w:p w14:paraId="02148E47" w14:textId="4F1B5C59" w:rsidR="007A62CF" w:rsidRPr="007E5E2B" w:rsidRDefault="007A62CF" w:rsidP="007E5E2B">
      <w:pPr>
        <w:pStyle w:val="Heading2"/>
      </w:pPr>
      <w:bookmarkStart w:id="18" w:name="_Toc67662785"/>
      <w:bookmarkStart w:id="19" w:name="_Toc71207808"/>
      <w:r w:rsidRPr="007E5E2B">
        <w:t xml:space="preserve">Data </w:t>
      </w:r>
      <w:r w:rsidR="005663AE" w:rsidRPr="007E5E2B">
        <w:t>Collecti</w:t>
      </w:r>
      <w:r w:rsidR="00A94D72">
        <w:t>on</w:t>
      </w:r>
      <w:bookmarkEnd w:id="18"/>
      <w:bookmarkEnd w:id="19"/>
    </w:p>
    <w:p w14:paraId="51377EE4" w14:textId="7B548D9C" w:rsidR="006A717A" w:rsidRPr="006A717A" w:rsidRDefault="007A62CF" w:rsidP="006A717A">
      <w:pPr>
        <w:pStyle w:val="standard"/>
        <w:rPr>
          <w:color w:val="000000" w:themeColor="text1"/>
        </w:rPr>
      </w:pPr>
      <w:r w:rsidRPr="0032600A">
        <w:t>A key part of this project involved systematically collecting pretest, posttest, and unit test data using assessments</w:t>
      </w:r>
      <w:r w:rsidR="001403C1">
        <w:t xml:space="preserve"> which</w:t>
      </w:r>
      <w:r w:rsidRPr="0032600A">
        <w:t xml:space="preserve"> aligned with three-dimen</w:t>
      </w:r>
      <w:r w:rsidRPr="00562E5E">
        <w:rPr>
          <w:color w:val="000000" w:themeColor="text1"/>
        </w:rPr>
        <w:t>sional learning goals.</w:t>
      </w:r>
      <w:r w:rsidR="00940E37">
        <w:rPr>
          <w:color w:val="000000" w:themeColor="text1"/>
        </w:rPr>
        <w:t xml:space="preserve"> These assessments are described in more detail below.</w:t>
      </w:r>
      <w:r w:rsidRPr="00562E5E">
        <w:rPr>
          <w:color w:val="000000" w:themeColor="text1"/>
        </w:rPr>
        <w:t xml:space="preserve"> </w:t>
      </w:r>
      <w:r w:rsidR="001403C1">
        <w:rPr>
          <w:color w:val="000000" w:themeColor="text1"/>
        </w:rPr>
        <w:t xml:space="preserve">Figure 2 presents the timeline for data collection. </w:t>
      </w:r>
      <w:r w:rsidR="00B36B4A">
        <w:rPr>
          <w:color w:val="000000" w:themeColor="text1"/>
        </w:rPr>
        <w:t>W</w:t>
      </w:r>
      <w:r w:rsidR="001403C1">
        <w:rPr>
          <w:color w:val="000000" w:themeColor="text1"/>
        </w:rPr>
        <w:t xml:space="preserve">e </w:t>
      </w:r>
      <w:r w:rsidR="00B36B4A">
        <w:rPr>
          <w:color w:val="000000" w:themeColor="text1"/>
        </w:rPr>
        <w:t>analyzed data from</w:t>
      </w:r>
      <w:r w:rsidR="00B36B4A">
        <w:rPr>
          <w:color w:val="000000" w:themeColor="text1"/>
        </w:rPr>
        <w:t xml:space="preserve"> </w:t>
      </w:r>
      <w:r w:rsidR="001403C1">
        <w:rPr>
          <w:color w:val="000000" w:themeColor="text1"/>
        </w:rPr>
        <w:t>three cohorts of teachers. The rows in Figure 2 represent each cohort’s timeline</w:t>
      </w:r>
      <w:r w:rsidR="002E1785">
        <w:rPr>
          <w:color w:val="000000" w:themeColor="text1"/>
        </w:rPr>
        <w:t>. For example, Cohort 2</w:t>
      </w:r>
      <w:r w:rsidR="000915AA">
        <w:rPr>
          <w:color w:val="000000" w:themeColor="text1"/>
        </w:rPr>
        <w:t>’</w:t>
      </w:r>
      <w:r w:rsidR="000915AA" w:rsidRPr="00614F29">
        <w:rPr>
          <w:color w:val="000000" w:themeColor="text1"/>
        </w:rPr>
        <w:t xml:space="preserve">s </w:t>
      </w:r>
      <w:r w:rsidR="0006072B" w:rsidRPr="00614F29">
        <w:rPr>
          <w:color w:val="000000" w:themeColor="text1"/>
        </w:rPr>
        <w:t>Teacher</w:t>
      </w:r>
      <w:r w:rsidR="002E1785" w:rsidRPr="00614F29">
        <w:rPr>
          <w:color w:val="000000" w:themeColor="text1"/>
        </w:rPr>
        <w:t xml:space="preserve"> Year 1 </w:t>
      </w:r>
      <w:r w:rsidR="000915AA" w:rsidRPr="00614F29">
        <w:rPr>
          <w:color w:val="000000" w:themeColor="text1"/>
        </w:rPr>
        <w:t xml:space="preserve">occurred </w:t>
      </w:r>
      <w:r w:rsidR="002E1785" w:rsidRPr="00614F29">
        <w:rPr>
          <w:color w:val="000000" w:themeColor="text1"/>
        </w:rPr>
        <w:t>in 2</w:t>
      </w:r>
      <w:r w:rsidR="002E1785">
        <w:rPr>
          <w:color w:val="000000" w:themeColor="text1"/>
        </w:rPr>
        <w:t xml:space="preserve">016–2017, its </w:t>
      </w:r>
      <w:r w:rsidR="0006072B">
        <w:rPr>
          <w:color w:val="000000" w:themeColor="text1"/>
        </w:rPr>
        <w:t>Teacher</w:t>
      </w:r>
      <w:r w:rsidR="002E1785">
        <w:rPr>
          <w:color w:val="000000" w:themeColor="text1"/>
        </w:rPr>
        <w:t xml:space="preserve"> Year 2 in 2017–2018, and </w:t>
      </w:r>
      <w:r w:rsidR="000915AA">
        <w:rPr>
          <w:color w:val="000000" w:themeColor="text1"/>
        </w:rPr>
        <w:t xml:space="preserve">its </w:t>
      </w:r>
      <w:r w:rsidR="0006072B">
        <w:rPr>
          <w:color w:val="000000" w:themeColor="text1"/>
        </w:rPr>
        <w:t>Teacher</w:t>
      </w:r>
      <w:r w:rsidR="002E1785">
        <w:rPr>
          <w:color w:val="000000" w:themeColor="text1"/>
        </w:rPr>
        <w:t xml:space="preserve"> Year 3 in 2018–2019. </w:t>
      </w:r>
      <w:r w:rsidR="00600595">
        <w:rPr>
          <w:color w:val="000000" w:themeColor="text1"/>
        </w:rPr>
        <w:t xml:space="preserve">We asked teachers to commit to two years of data collection when they joined the project, though </w:t>
      </w:r>
      <w:r w:rsidR="005D15C3" w:rsidRPr="005D15C3">
        <w:rPr>
          <w:color w:val="000000" w:themeColor="text1"/>
        </w:rPr>
        <w:t>39</w:t>
      </w:r>
      <w:r w:rsidR="005D15C3">
        <w:rPr>
          <w:color w:val="FF0000"/>
        </w:rPr>
        <w:t xml:space="preserve"> </w:t>
      </w:r>
      <w:r w:rsidR="002F7109">
        <w:rPr>
          <w:color w:val="000000" w:themeColor="text1"/>
        </w:rPr>
        <w:t>teachers did not complete</w:t>
      </w:r>
      <w:r w:rsidR="001735C5">
        <w:rPr>
          <w:color w:val="000000" w:themeColor="text1"/>
        </w:rPr>
        <w:t xml:space="preserve"> the second year due to changes in teaching assignment and other factors.</w:t>
      </w:r>
      <w:r w:rsidR="002F7109">
        <w:rPr>
          <w:color w:val="000000" w:themeColor="text1"/>
        </w:rPr>
        <w:t xml:space="preserve"> </w:t>
      </w:r>
      <w:r w:rsidR="00CF21C6">
        <w:rPr>
          <w:color w:val="000000" w:themeColor="text1"/>
        </w:rPr>
        <w:t>Some teachers volunteered to continue p</w:t>
      </w:r>
      <w:r w:rsidR="002E1785">
        <w:rPr>
          <w:color w:val="000000" w:themeColor="text1"/>
        </w:rPr>
        <w:t xml:space="preserve">articipation in data collection </w:t>
      </w:r>
      <w:r w:rsidR="00CF21C6">
        <w:rPr>
          <w:color w:val="000000" w:themeColor="text1"/>
        </w:rPr>
        <w:t>for</w:t>
      </w:r>
      <w:r w:rsidR="002E1785">
        <w:rPr>
          <w:color w:val="000000" w:themeColor="text1"/>
        </w:rPr>
        <w:t xml:space="preserve"> </w:t>
      </w:r>
      <w:r w:rsidR="00910B15">
        <w:rPr>
          <w:color w:val="000000" w:themeColor="text1"/>
        </w:rPr>
        <w:t>Teacher</w:t>
      </w:r>
      <w:r w:rsidR="002E1785">
        <w:rPr>
          <w:color w:val="000000" w:themeColor="text1"/>
        </w:rPr>
        <w:t xml:space="preserve"> Year</w:t>
      </w:r>
      <w:r w:rsidR="00CF21C6">
        <w:rPr>
          <w:color w:val="000000" w:themeColor="text1"/>
        </w:rPr>
        <w:t>s</w:t>
      </w:r>
      <w:r w:rsidR="002E1785">
        <w:rPr>
          <w:color w:val="000000" w:themeColor="text1"/>
        </w:rPr>
        <w:t xml:space="preserve"> 3</w:t>
      </w:r>
      <w:r w:rsidR="00CF21C6">
        <w:rPr>
          <w:color w:val="000000" w:themeColor="text1"/>
        </w:rPr>
        <w:t xml:space="preserve"> and 4</w:t>
      </w:r>
      <w:r w:rsidR="002E1785">
        <w:rPr>
          <w:color w:val="000000" w:themeColor="text1"/>
        </w:rPr>
        <w:t xml:space="preserve">. </w:t>
      </w:r>
    </w:p>
    <w:p w14:paraId="309B4776" w14:textId="7DFF9657" w:rsidR="00FC66E4" w:rsidRDefault="007E1D6D" w:rsidP="007A6A61">
      <w:pPr>
        <w:pStyle w:val="standard"/>
      </w:pPr>
      <w:r>
        <w:t>The bottom half of Figure 2</w:t>
      </w:r>
      <w:r w:rsidR="002E1785">
        <w:t xml:space="preserve"> </w:t>
      </w:r>
      <w:r w:rsidR="00B575B1">
        <w:t xml:space="preserve">depicts </w:t>
      </w:r>
      <w:r w:rsidR="002E1785">
        <w:t xml:space="preserve">the assessments administered </w:t>
      </w:r>
      <w:r w:rsidR="000915AA">
        <w:t>during</w:t>
      </w:r>
      <w:r w:rsidR="002E1785">
        <w:t xml:space="preserve"> each </w:t>
      </w:r>
      <w:r w:rsidR="00CF21C6">
        <w:t xml:space="preserve">Teacher </w:t>
      </w:r>
      <w:r w:rsidR="00140808">
        <w:t>Y</w:t>
      </w:r>
      <w:r w:rsidR="002E1785">
        <w:t>ear</w:t>
      </w:r>
      <w:r w:rsidR="004379E0">
        <w:t xml:space="preserve">, using </w:t>
      </w:r>
      <w:r w:rsidR="00140808">
        <w:rPr>
          <w:iCs/>
        </w:rPr>
        <w:t>Teacher</w:t>
      </w:r>
      <w:r w:rsidR="004379E0">
        <w:t xml:space="preserve"> Year 1 for Cohort 2 as an example.</w:t>
      </w:r>
      <w:r w:rsidR="002E1785">
        <w:t xml:space="preserve"> </w:t>
      </w:r>
    </w:p>
    <w:p w14:paraId="1BF067F3" w14:textId="09CC4042" w:rsidR="00B95029" w:rsidRDefault="00B95029" w:rsidP="00706476">
      <w:pPr>
        <w:pStyle w:val="standard"/>
        <w:numPr>
          <w:ilvl w:val="0"/>
          <w:numId w:val="37"/>
        </w:numPr>
        <w:ind w:left="720"/>
      </w:pPr>
      <w:r>
        <w:t>Teachers in Cohorts 2 and 3 administered baseline posttests</w:t>
      </w:r>
      <w:r w:rsidR="008F3E56">
        <w:t xml:space="preserve"> (identical to </w:t>
      </w:r>
      <w:r w:rsidR="009C562C">
        <w:t xml:space="preserve">Full </w:t>
      </w:r>
      <w:r w:rsidR="007F266E">
        <w:rPr>
          <w:i/>
          <w:iCs/>
        </w:rPr>
        <w:t>Carbon TIME</w:t>
      </w:r>
      <w:r w:rsidR="009C562C">
        <w:t xml:space="preserve"> </w:t>
      </w:r>
      <w:r w:rsidR="008F3E56">
        <w:t>pretests and posttests)</w:t>
      </w:r>
      <w:r>
        <w:t xml:space="preserve"> to their students the spring </w:t>
      </w:r>
      <w:r w:rsidRPr="002E1785">
        <w:rPr>
          <w:i/>
        </w:rPr>
        <w:t>before</w:t>
      </w:r>
      <w:r>
        <w:t xml:space="preserve"> their </w:t>
      </w:r>
      <w:r w:rsidR="00AB4173">
        <w:t>Teacher</w:t>
      </w:r>
      <w:r>
        <w:t xml:space="preserve"> Year 1</w:t>
      </w:r>
      <w:r w:rsidR="007F266E">
        <w:t>.</w:t>
      </w:r>
    </w:p>
    <w:p w14:paraId="3AF7315C" w14:textId="4BFDF360" w:rsidR="003042EF" w:rsidRDefault="000915AA" w:rsidP="00706476">
      <w:pPr>
        <w:pStyle w:val="standard"/>
        <w:numPr>
          <w:ilvl w:val="0"/>
          <w:numId w:val="37"/>
        </w:numPr>
        <w:ind w:left="720"/>
      </w:pPr>
      <w:r>
        <w:t>Across all cohorts, s</w:t>
      </w:r>
      <w:r w:rsidR="002E1785">
        <w:t xml:space="preserve">tudents completed </w:t>
      </w:r>
      <w:r w:rsidR="00B457CC">
        <w:t xml:space="preserve">a full </w:t>
      </w:r>
      <w:r w:rsidR="007F266E">
        <w:rPr>
          <w:i/>
          <w:iCs/>
        </w:rPr>
        <w:t>Carbon TIME</w:t>
      </w:r>
      <w:r w:rsidR="007F266E">
        <w:t xml:space="preserve"> </w:t>
      </w:r>
      <w:r w:rsidR="002E1785">
        <w:t>pretest</w:t>
      </w:r>
      <w:r w:rsidR="00F60220">
        <w:t xml:space="preserve"> </w:t>
      </w:r>
      <w:r w:rsidR="002E1785">
        <w:t xml:space="preserve">at the beginning of </w:t>
      </w:r>
      <w:r>
        <w:t>each</w:t>
      </w:r>
      <w:r w:rsidR="002E1785">
        <w:t xml:space="preserve"> academic year, which </w:t>
      </w:r>
      <w:r w:rsidR="007B129A">
        <w:t xml:space="preserve">included </w:t>
      </w:r>
      <w:r w:rsidR="00062DDC">
        <w:t>a matrix sampling of</w:t>
      </w:r>
      <w:r w:rsidR="007B129A">
        <w:t xml:space="preserve"> items assessing </w:t>
      </w:r>
      <w:r w:rsidR="002E1785">
        <w:t>their prior knowledge on three-dimensional learning</w:t>
      </w:r>
      <w:r w:rsidR="00752590">
        <w:t xml:space="preserve"> associated with all six</w:t>
      </w:r>
      <w:r w:rsidR="00F60220">
        <w:t xml:space="preserve"> </w:t>
      </w:r>
      <w:r w:rsidR="00752590">
        <w:rPr>
          <w:i/>
        </w:rPr>
        <w:t>Carbon TIME</w:t>
      </w:r>
      <w:r w:rsidR="00F60220" w:rsidRPr="006A717A">
        <w:rPr>
          <w:i/>
        </w:rPr>
        <w:t xml:space="preserve"> </w:t>
      </w:r>
      <w:r w:rsidR="00752590">
        <w:t>units</w:t>
      </w:r>
      <w:r w:rsidR="002E1785">
        <w:t xml:space="preserve">. </w:t>
      </w:r>
    </w:p>
    <w:p w14:paraId="50FCA559" w14:textId="27601C37" w:rsidR="00642A95" w:rsidRDefault="003042EF" w:rsidP="00706476">
      <w:pPr>
        <w:pStyle w:val="standard"/>
        <w:numPr>
          <w:ilvl w:val="0"/>
          <w:numId w:val="37"/>
        </w:numPr>
        <w:ind w:left="720"/>
      </w:pPr>
      <w:r>
        <w:t>During the school</w:t>
      </w:r>
      <w:r w:rsidR="00642A95">
        <w:t xml:space="preserve"> year</w:t>
      </w:r>
      <w:r w:rsidR="002E1785">
        <w:t xml:space="preserve"> students complete</w:t>
      </w:r>
      <w:r w:rsidR="007F266E">
        <w:t>d</w:t>
      </w:r>
      <w:r w:rsidR="002E1785">
        <w:t xml:space="preserve"> </w:t>
      </w:r>
      <w:r w:rsidR="000915AA">
        <w:t xml:space="preserve">unit </w:t>
      </w:r>
      <w:r w:rsidR="002E1785">
        <w:t>pretest</w:t>
      </w:r>
      <w:r w:rsidR="000915AA">
        <w:t>s</w:t>
      </w:r>
      <w:r w:rsidR="002E1785">
        <w:t xml:space="preserve"> and posttest</w:t>
      </w:r>
      <w:r w:rsidR="000915AA">
        <w:t>s</w:t>
      </w:r>
      <w:r w:rsidR="002E1785">
        <w:t xml:space="preserve">. </w:t>
      </w:r>
      <w:r w:rsidR="004E69FE">
        <w:t>M</w:t>
      </w:r>
      <w:r w:rsidR="002E1785">
        <w:t xml:space="preserve">ost teachers </w:t>
      </w:r>
      <w:r w:rsidR="00446148">
        <w:t xml:space="preserve">taught </w:t>
      </w:r>
      <w:r w:rsidR="0057775F">
        <w:t xml:space="preserve">the first three </w:t>
      </w:r>
      <w:r w:rsidR="002E1785">
        <w:t xml:space="preserve">units in the suggested order: 1) </w:t>
      </w:r>
      <w:r w:rsidR="002E1785" w:rsidRPr="00107A61">
        <w:rPr>
          <w:i/>
        </w:rPr>
        <w:t>Systems and Scale</w:t>
      </w:r>
      <w:r w:rsidR="002E1785">
        <w:t xml:space="preserve">, 2) </w:t>
      </w:r>
      <w:r w:rsidR="002E1785" w:rsidRPr="00107A61">
        <w:rPr>
          <w:i/>
        </w:rPr>
        <w:t>Animals</w:t>
      </w:r>
      <w:r w:rsidR="002E1785">
        <w:t xml:space="preserve">, and </w:t>
      </w:r>
      <w:r w:rsidR="002E1785">
        <w:lastRenderedPageBreak/>
        <w:t xml:space="preserve">3) </w:t>
      </w:r>
      <w:r w:rsidR="002E1785" w:rsidRPr="00107A61">
        <w:rPr>
          <w:i/>
        </w:rPr>
        <w:t>Plants</w:t>
      </w:r>
      <w:r w:rsidR="004031EF">
        <w:t xml:space="preserve">. </w:t>
      </w:r>
      <w:r w:rsidR="000E4492">
        <w:t>A smaller number of teacher</w:t>
      </w:r>
      <w:r w:rsidR="00381314">
        <w:t>s</w:t>
      </w:r>
      <w:r w:rsidR="000E4492">
        <w:t xml:space="preserve"> taught the other</w:t>
      </w:r>
      <w:r w:rsidR="000915AA">
        <w:t xml:space="preserve"> three units</w:t>
      </w:r>
      <w:r w:rsidR="00A8126C">
        <w:t xml:space="preserve">: </w:t>
      </w:r>
      <w:r w:rsidR="000915AA" w:rsidRPr="00107A61">
        <w:rPr>
          <w:i/>
        </w:rPr>
        <w:t>Decomposer</w:t>
      </w:r>
      <w:r w:rsidR="00C77623" w:rsidRPr="00107A61">
        <w:rPr>
          <w:i/>
        </w:rPr>
        <w:t>s</w:t>
      </w:r>
      <w:r w:rsidR="000915AA" w:rsidRPr="00107A61">
        <w:rPr>
          <w:i/>
        </w:rPr>
        <w:t>, Ecosystem</w:t>
      </w:r>
      <w:r w:rsidR="00C77623" w:rsidRPr="00107A61">
        <w:rPr>
          <w:i/>
        </w:rPr>
        <w:t>s</w:t>
      </w:r>
      <w:r w:rsidR="000915AA" w:rsidRPr="00107A61">
        <w:rPr>
          <w:i/>
        </w:rPr>
        <w:t xml:space="preserve">, </w:t>
      </w:r>
      <w:r w:rsidR="000915AA" w:rsidRPr="007C01FF">
        <w:t>and</w:t>
      </w:r>
      <w:r w:rsidR="000915AA" w:rsidRPr="00107A61">
        <w:rPr>
          <w:i/>
        </w:rPr>
        <w:t xml:space="preserve"> Human Energy System</w:t>
      </w:r>
      <w:r w:rsidR="00C77623" w:rsidRPr="00107A61">
        <w:rPr>
          <w:i/>
        </w:rPr>
        <w:t>s</w:t>
      </w:r>
      <w:r w:rsidR="002E1785" w:rsidRPr="00107A61">
        <w:rPr>
          <w:i/>
        </w:rPr>
        <w:t>.</w:t>
      </w:r>
      <w:r w:rsidR="002E1785">
        <w:t xml:space="preserve"> </w:t>
      </w:r>
    </w:p>
    <w:p w14:paraId="7AF2F7D7" w14:textId="75B6B302" w:rsidR="00E210B8" w:rsidRDefault="007F266E" w:rsidP="00476E32">
      <w:pPr>
        <w:pStyle w:val="standard"/>
        <w:numPr>
          <w:ilvl w:val="0"/>
          <w:numId w:val="37"/>
        </w:numPr>
        <w:ind w:left="720"/>
      </w:pPr>
      <w:r>
        <w:t>After all the units were finished</w:t>
      </w:r>
      <w:r w:rsidR="002E1785">
        <w:t xml:space="preserve"> students completed </w:t>
      </w:r>
      <w:r w:rsidR="00A731A6">
        <w:t xml:space="preserve">a full </w:t>
      </w:r>
      <w:r>
        <w:rPr>
          <w:i/>
          <w:iCs/>
        </w:rPr>
        <w:t>Carbon TIME</w:t>
      </w:r>
      <w:r>
        <w:t xml:space="preserve"> </w:t>
      </w:r>
      <w:r w:rsidR="002E1785">
        <w:t>posttest</w:t>
      </w:r>
      <w:r w:rsidR="00476E32">
        <w:t xml:space="preserve"> </w:t>
      </w:r>
      <w:r w:rsidR="009C5086">
        <w:t>using matrix sampling</w:t>
      </w:r>
      <w:r w:rsidR="00575E3B">
        <w:t xml:space="preserve"> of the same item set as the pretest</w:t>
      </w:r>
      <w:r w:rsidR="002E1785">
        <w:t xml:space="preserve">.  </w:t>
      </w:r>
    </w:p>
    <w:p w14:paraId="2745BDD4" w14:textId="77777777" w:rsidR="003911D6" w:rsidRDefault="003911D6" w:rsidP="008F7E38">
      <w:pPr>
        <w:pStyle w:val="standard"/>
        <w:spacing w:line="240" w:lineRule="auto"/>
        <w:ind w:firstLine="0"/>
        <w:contextualSpacing/>
        <w:mirrorIndents/>
        <w:rPr>
          <w:b/>
          <w:bCs/>
          <w:color w:val="000000" w:themeColor="text1"/>
          <w:szCs w:val="24"/>
        </w:rPr>
      </w:pPr>
    </w:p>
    <w:p w14:paraId="399039FE" w14:textId="77777777" w:rsidR="008F7E38" w:rsidRDefault="00E210B8" w:rsidP="008F7E38">
      <w:pPr>
        <w:pStyle w:val="standard"/>
        <w:spacing w:line="240" w:lineRule="auto"/>
        <w:ind w:firstLine="0"/>
        <w:contextualSpacing/>
        <w:mirrorIndents/>
        <w:rPr>
          <w:b/>
          <w:bCs/>
          <w:color w:val="000000" w:themeColor="text1"/>
          <w:szCs w:val="24"/>
        </w:rPr>
      </w:pPr>
      <w:r w:rsidRPr="002E1785">
        <w:rPr>
          <w:rFonts w:hint="eastAsia"/>
          <w:b/>
          <w:bCs/>
          <w:color w:val="000000" w:themeColor="text1"/>
          <w:szCs w:val="24"/>
        </w:rPr>
        <w:t>F</w:t>
      </w:r>
      <w:r w:rsidRPr="002E1785">
        <w:rPr>
          <w:b/>
          <w:bCs/>
          <w:color w:val="000000" w:themeColor="text1"/>
          <w:szCs w:val="24"/>
        </w:rPr>
        <w:t>igure 2</w:t>
      </w:r>
    </w:p>
    <w:p w14:paraId="6D0DA627" w14:textId="77777777" w:rsidR="00E210B8" w:rsidRPr="008F7E38" w:rsidRDefault="00E210B8" w:rsidP="008F7E38">
      <w:pPr>
        <w:pStyle w:val="standard"/>
        <w:spacing w:line="240" w:lineRule="auto"/>
        <w:ind w:firstLine="0"/>
        <w:contextualSpacing/>
        <w:mirrorIndents/>
        <w:rPr>
          <w:b/>
          <w:bCs/>
          <w:color w:val="000000" w:themeColor="text1"/>
          <w:szCs w:val="24"/>
        </w:rPr>
      </w:pPr>
      <w:r w:rsidRPr="00D76A83">
        <w:rPr>
          <w:i/>
          <w:iCs/>
          <w:szCs w:val="24"/>
        </w:rPr>
        <w:t xml:space="preserve">Data </w:t>
      </w:r>
      <w:r>
        <w:rPr>
          <w:i/>
          <w:iCs/>
          <w:szCs w:val="24"/>
        </w:rPr>
        <w:t>C</w:t>
      </w:r>
      <w:r w:rsidRPr="00D76A83">
        <w:rPr>
          <w:i/>
          <w:iCs/>
          <w:szCs w:val="24"/>
        </w:rPr>
        <w:t xml:space="preserve">ollection </w:t>
      </w:r>
      <w:r>
        <w:rPr>
          <w:i/>
          <w:iCs/>
          <w:szCs w:val="24"/>
        </w:rPr>
        <w:t>T</w:t>
      </w:r>
      <w:r w:rsidRPr="00D76A83">
        <w:rPr>
          <w:i/>
          <w:iCs/>
          <w:szCs w:val="24"/>
        </w:rPr>
        <w:t>imeline</w:t>
      </w:r>
      <w:r w:rsidRPr="005A561D">
        <w:rPr>
          <w:noProof/>
          <w:color w:val="000000" w:themeColor="text1"/>
          <w:szCs w:val="24"/>
          <w:lang w:eastAsia="zh-CN"/>
        </w:rPr>
        <w:drawing>
          <wp:inline distT="0" distB="0" distL="0" distR="0" wp14:anchorId="52AC723A" wp14:editId="3CA6F50F">
            <wp:extent cx="5943600" cy="3474085"/>
            <wp:effectExtent l="0" t="0" r="0" b="571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943600" cy="3474085"/>
                    </a:xfrm>
                    <a:prstGeom prst="rect">
                      <a:avLst/>
                    </a:prstGeom>
                  </pic:spPr>
                </pic:pic>
              </a:graphicData>
            </a:graphic>
          </wp:inline>
        </w:drawing>
      </w:r>
    </w:p>
    <w:p w14:paraId="3FAC210D" w14:textId="77777777" w:rsidR="00E210B8" w:rsidRPr="005A561D" w:rsidRDefault="00E210B8" w:rsidP="008F7E38">
      <w:pPr>
        <w:pStyle w:val="standard"/>
        <w:spacing w:line="240" w:lineRule="auto"/>
        <w:ind w:firstLine="0"/>
        <w:contextualSpacing/>
        <w:mirrorIndents/>
        <w:rPr>
          <w:color w:val="000000" w:themeColor="text1"/>
          <w:szCs w:val="24"/>
        </w:rPr>
      </w:pPr>
      <w:r w:rsidRPr="0080241D">
        <w:rPr>
          <w:rFonts w:hint="eastAsia"/>
          <w:i/>
          <w:iCs/>
          <w:color w:val="000000" w:themeColor="text1"/>
          <w:szCs w:val="24"/>
        </w:rPr>
        <w:t>N</w:t>
      </w:r>
      <w:r w:rsidRPr="0080241D">
        <w:rPr>
          <w:i/>
          <w:iCs/>
          <w:color w:val="000000" w:themeColor="text1"/>
          <w:szCs w:val="24"/>
        </w:rPr>
        <w:t>otes.</w:t>
      </w:r>
      <w:r>
        <w:rPr>
          <w:color w:val="000000" w:themeColor="text1"/>
          <w:szCs w:val="24"/>
        </w:rPr>
        <w:t xml:space="preserve"> The pale blue arrows indicate that all the assessments were optional. The bottom half of the figure (within the red box) demonstrates the assessments administered in each </w:t>
      </w:r>
      <w:r w:rsidRPr="002E1785">
        <w:rPr>
          <w:i/>
          <w:iCs/>
          <w:color w:val="000000" w:themeColor="text1"/>
          <w:szCs w:val="24"/>
        </w:rPr>
        <w:t>Carbon TIME</w:t>
      </w:r>
      <w:r>
        <w:rPr>
          <w:color w:val="000000" w:themeColor="text1"/>
          <w:szCs w:val="24"/>
        </w:rPr>
        <w:t xml:space="preserve"> year, using </w:t>
      </w:r>
      <w:r w:rsidRPr="004379E0">
        <w:rPr>
          <w:i/>
          <w:iCs/>
          <w:color w:val="000000" w:themeColor="text1"/>
          <w:szCs w:val="24"/>
        </w:rPr>
        <w:t>Carbon TIME</w:t>
      </w:r>
      <w:r>
        <w:rPr>
          <w:color w:val="000000" w:themeColor="text1"/>
          <w:szCs w:val="24"/>
        </w:rPr>
        <w:t xml:space="preserve"> Year 1 for Cohort 2 as an example. The Pre-</w:t>
      </w:r>
      <w:r w:rsidRPr="00972F34">
        <w:rPr>
          <w:i/>
          <w:iCs/>
          <w:color w:val="000000" w:themeColor="text1"/>
          <w:szCs w:val="24"/>
        </w:rPr>
        <w:t>Carbon TIME</w:t>
      </w:r>
      <w:r>
        <w:rPr>
          <w:color w:val="000000" w:themeColor="text1"/>
          <w:szCs w:val="24"/>
        </w:rPr>
        <w:t xml:space="preserve"> baseline tests only apply to Cohort 2 and 3. </w:t>
      </w:r>
    </w:p>
    <w:p w14:paraId="497CC55E" w14:textId="77777777" w:rsidR="00E210B8" w:rsidRDefault="00E210B8" w:rsidP="004C63C4">
      <w:pPr>
        <w:pStyle w:val="standard"/>
        <w:ind w:firstLine="0"/>
      </w:pPr>
    </w:p>
    <w:p w14:paraId="24BE58F5" w14:textId="58100DEC" w:rsidR="007A62CF" w:rsidRDefault="007A62CF" w:rsidP="00B36298">
      <w:pPr>
        <w:pStyle w:val="standard"/>
      </w:pPr>
      <w:r w:rsidRPr="0032600A">
        <w:t>Teachers used th</w:t>
      </w:r>
      <w:r w:rsidR="00C962C2">
        <w:t xml:space="preserve">is series of </w:t>
      </w:r>
      <w:r w:rsidRPr="0032600A">
        <w:t xml:space="preserve">assessments for classroom formative and summative purposes, and </w:t>
      </w:r>
      <w:r w:rsidR="00C962C2">
        <w:t>these assessments served as this study’s primary data source</w:t>
      </w:r>
      <w:r w:rsidRPr="0032600A">
        <w:t xml:space="preserve">. </w:t>
      </w:r>
    </w:p>
    <w:p w14:paraId="6E7789B4" w14:textId="77777777" w:rsidR="0006569C" w:rsidRPr="004D3104" w:rsidRDefault="0006569C" w:rsidP="00B100A0">
      <w:pPr>
        <w:pStyle w:val="Heading2"/>
      </w:pPr>
      <w:bookmarkStart w:id="20" w:name="_Toc67662786"/>
      <w:bookmarkStart w:id="21" w:name="_Toc71207809"/>
      <w:r w:rsidRPr="004D3104">
        <w:t>Validity and Reliability of Assessments</w:t>
      </w:r>
      <w:bookmarkEnd w:id="20"/>
      <w:bookmarkEnd w:id="21"/>
    </w:p>
    <w:p w14:paraId="7AEAABB5" w14:textId="6E103579" w:rsidR="0006569C" w:rsidRPr="0032600A" w:rsidRDefault="0006569C" w:rsidP="00503271">
      <w:pPr>
        <w:pStyle w:val="standard"/>
      </w:pPr>
      <w:r w:rsidRPr="0032600A">
        <w:t xml:space="preserve">The assessments were developed and validated using an iterative process over a </w:t>
      </w:r>
      <w:r>
        <w:t>10</w:t>
      </w:r>
      <w:r w:rsidRPr="0032600A">
        <w:t>-year period, administered</w:t>
      </w:r>
      <w:r>
        <w:t xml:space="preserve"> </w:t>
      </w:r>
      <w:r w:rsidRPr="0032600A">
        <w:t xml:space="preserve">online, and scored using an automated scoring system developed </w:t>
      </w:r>
      <w:r>
        <w:t>in</w:t>
      </w:r>
      <w:r w:rsidRPr="0032600A">
        <w:t xml:space="preserve"> </w:t>
      </w:r>
      <w:r w:rsidRPr="0032600A">
        <w:lastRenderedPageBreak/>
        <w:t>partnership with ACT (</w:t>
      </w:r>
      <w:r w:rsidRPr="0032600A">
        <w:t>Thomas, et al.,</w:t>
      </w:r>
      <w:r w:rsidRPr="0032600A">
        <w:t xml:space="preserve"> 2020). The assessments use what Penuel</w:t>
      </w:r>
      <w:r w:rsidR="00AF03C7">
        <w:t xml:space="preserve"> et al.</w:t>
      </w:r>
      <w:r w:rsidRPr="0032600A">
        <w:t xml:space="preserve"> (2019) describe as proximal transfer tasks to assess phenomenon‐based science learning</w:t>
      </w:r>
      <w:r w:rsidR="00E66694">
        <w:t>; t</w:t>
      </w:r>
      <w:r w:rsidRPr="0032600A">
        <w:t>hey</w:t>
      </w:r>
      <w:r w:rsidRPr="0032600A">
        <w:t xml:space="preserve"> required students to investigate or explain phenomena that were </w:t>
      </w:r>
      <w:proofErr w:type="gramStart"/>
      <w:r w:rsidRPr="0032600A">
        <w:t>similar to</w:t>
      </w:r>
      <w:proofErr w:type="gramEnd"/>
      <w:r w:rsidRPr="0032600A">
        <w:t>, but not the same as, phenomena that they studied in</w:t>
      </w:r>
      <w:r w:rsidR="008E58FA">
        <w:t xml:space="preserve"> </w:t>
      </w:r>
      <w:r w:rsidR="007F266E">
        <w:rPr>
          <w:i/>
          <w:iCs/>
        </w:rPr>
        <w:t>Carbon TIME</w:t>
      </w:r>
      <w:r w:rsidR="008E58FA">
        <w:t xml:space="preserve"> </w:t>
      </w:r>
      <w:r w:rsidRPr="0032600A">
        <w:t>units. The three-dimensional learning performances that we assessed included students’ explanations, analyses</w:t>
      </w:r>
      <w:r w:rsidR="00E66694">
        <w:t xml:space="preserve"> of data from investigations</w:t>
      </w:r>
      <w:r w:rsidRPr="0032600A">
        <w:t xml:space="preserve">, and arguments from evidence. For this </w:t>
      </w:r>
      <w:r w:rsidR="00826BF2">
        <w:t>article</w:t>
      </w:r>
      <w:r w:rsidRPr="0032600A">
        <w:t xml:space="preserve">, we chose to focus on analyses of the inquiry and explanation items from the first three units: </w:t>
      </w:r>
      <w:r w:rsidRPr="0032600A">
        <w:rPr>
          <w:i/>
        </w:rPr>
        <w:t xml:space="preserve">Systems and Scale, Animals, </w:t>
      </w:r>
      <w:r w:rsidRPr="0032600A">
        <w:t>and</w:t>
      </w:r>
      <w:r w:rsidRPr="0032600A">
        <w:rPr>
          <w:i/>
        </w:rPr>
        <w:t xml:space="preserve"> Plants</w:t>
      </w:r>
      <w:r w:rsidRPr="0032600A">
        <w:t xml:space="preserve">. </w:t>
      </w:r>
      <w:r w:rsidR="00E66694">
        <w:t>Two example items and their relationships with NGSS performance expectations are included in the online supplemental materials; the full item set for all assessments is available online (</w:t>
      </w:r>
      <w:hyperlink r:id="rId15" w:history="1">
        <w:r w:rsidR="00800441" w:rsidRPr="00737F6C">
          <w:rPr>
            <w:rStyle w:val="Hyperlink"/>
            <w:szCs w:val="24"/>
          </w:rPr>
          <w:t>https://carbontime.bscs.org/assessment-links</w:t>
        </w:r>
      </w:hyperlink>
      <w:r w:rsidR="00800441">
        <w:t>).</w:t>
      </w:r>
    </w:p>
    <w:p w14:paraId="4F509FBF" w14:textId="058AF446" w:rsidR="009D0812" w:rsidRDefault="0006569C" w:rsidP="0059236E">
      <w:pPr>
        <w:pStyle w:val="standard"/>
      </w:pPr>
      <w:r w:rsidRPr="0032600A">
        <w:t xml:space="preserve">Most test items combined one or more forced-choice responses with constructed written explanations. Through a partnership with </w:t>
      </w:r>
      <w:proofErr w:type="gramStart"/>
      <w:r w:rsidRPr="0032600A">
        <w:t>ACT</w:t>
      </w:r>
      <w:proofErr w:type="gramEnd"/>
      <w:r w:rsidRPr="0032600A">
        <w:t xml:space="preserve"> we developed a machine-scoring system that achieved high standards of reliability</w:t>
      </w:r>
      <w:r w:rsidR="00C0762D">
        <w:t>. For example, the quadratic weighted kappa</w:t>
      </w:r>
      <w:r w:rsidR="002557D1">
        <w:t xml:space="preserve"> of the scoring of all items </w:t>
      </w:r>
      <w:r w:rsidR="000C5AEE">
        <w:t>exceeded 0.7; all items were checked for item fit and the few items with poor fit were revised or replaced</w:t>
      </w:r>
      <w:r w:rsidRPr="0032600A">
        <w:t xml:space="preserve"> (</w:t>
      </w:r>
      <w:r w:rsidRPr="0032600A">
        <w:t xml:space="preserve">Thomas, </w:t>
      </w:r>
      <w:r w:rsidRPr="00960F96">
        <w:rPr>
          <w:iCs/>
        </w:rPr>
        <w:t xml:space="preserve">et al., </w:t>
      </w:r>
      <w:r w:rsidRPr="0032600A">
        <w:t>2020).</w:t>
      </w:r>
      <w:r>
        <w:t xml:space="preserve"> </w:t>
      </w:r>
      <w:r w:rsidR="00595773">
        <w:t xml:space="preserve">While we agree with the conclusion </w:t>
      </w:r>
      <w:r w:rsidR="008D688D">
        <w:t xml:space="preserve">in the </w:t>
      </w:r>
      <w:r w:rsidR="00845852">
        <w:t>National Research Council</w:t>
      </w:r>
      <w:r w:rsidR="008D688D">
        <w:t xml:space="preserve"> report on </w:t>
      </w:r>
      <w:r w:rsidR="00845852">
        <w:t>developing assessments for the NGSS (NRC, 2014)</w:t>
      </w:r>
      <w:r w:rsidR="00E32771">
        <w:t xml:space="preserve"> that </w:t>
      </w:r>
      <w:r w:rsidR="008F63EF">
        <w:t xml:space="preserve">on-demand assessments cannot </w:t>
      </w:r>
      <w:r w:rsidR="00557305">
        <w:t>comprehensively</w:t>
      </w:r>
      <w:r w:rsidR="008F63EF">
        <w:t xml:space="preserve"> measure </w:t>
      </w:r>
      <w:r w:rsidR="00557305">
        <w:t xml:space="preserve">students’ </w:t>
      </w:r>
      <w:r w:rsidR="00AE50E3">
        <w:t xml:space="preserve">mastery of NGSS performance expectations, </w:t>
      </w:r>
      <w:r w:rsidR="00435FC5">
        <w:t>we have good evidence that</w:t>
      </w:r>
      <w:r w:rsidR="00462B03">
        <w:t xml:space="preserve"> these assessments elicit and evaluate students’ three-dimensional performances. </w:t>
      </w:r>
      <w:r w:rsidR="00E66694">
        <w:t xml:space="preserve"> </w:t>
      </w:r>
      <w:r w:rsidR="00E66694" w:rsidRPr="0032600A">
        <w:t>In separate papers and publications, we have presented evidence for the validity and reliability of these tests as measures of three-dimensional learning (</w:t>
      </w:r>
      <w:r w:rsidR="00E66694" w:rsidRPr="00C013A9">
        <w:rPr>
          <w:color w:val="FF0000"/>
        </w:rPr>
        <w:t>Authors, 2015; Authors, 2018</w:t>
      </w:r>
      <w:r w:rsidR="00E66694" w:rsidRPr="0032600A">
        <w:t>).</w:t>
      </w:r>
    </w:p>
    <w:p w14:paraId="17CA3F8F" w14:textId="3F3ECDB9" w:rsidR="0006569C" w:rsidRPr="0032600A" w:rsidRDefault="0006569C" w:rsidP="00D62966">
      <w:pPr>
        <w:pStyle w:val="standard"/>
      </w:pPr>
      <w:r w:rsidRPr="0032600A">
        <w:lastRenderedPageBreak/>
        <w:t xml:space="preserve">This system scored student performances according to learning progression levels, described in detail in other publications </w:t>
      </w:r>
      <w:r w:rsidR="007D024F" w:rsidRPr="0032600A">
        <w:t>(</w:t>
      </w:r>
      <w:proofErr w:type="spellStart"/>
      <w:r w:rsidRPr="0032600A">
        <w:t>Covitt</w:t>
      </w:r>
      <w:proofErr w:type="spellEnd"/>
      <w:r w:rsidRPr="0032600A">
        <w:t xml:space="preserve"> &amp; Anderson, 2018; </w:t>
      </w:r>
      <w:proofErr w:type="spellStart"/>
      <w:r w:rsidRPr="0032600A">
        <w:t>Jin</w:t>
      </w:r>
      <w:proofErr w:type="spellEnd"/>
      <w:r w:rsidRPr="0032600A">
        <w:t xml:space="preserve"> &amp; Anderson, 2012; Mohan</w:t>
      </w:r>
      <w:r w:rsidRPr="004D3104">
        <w:t xml:space="preserve"> et al., </w:t>
      </w:r>
      <w:r w:rsidRPr="0032600A">
        <w:t>2009</w:t>
      </w:r>
      <w:r w:rsidR="007D024F" w:rsidRPr="0032600A">
        <w:t>)</w:t>
      </w:r>
      <w:r w:rsidRPr="0032600A">
        <w:t xml:space="preserve"> and </w:t>
      </w:r>
      <w:proofErr w:type="gramStart"/>
      <w:r w:rsidRPr="0032600A">
        <w:t>summarized briefly</w:t>
      </w:r>
      <w:proofErr w:type="gramEnd"/>
      <w:r w:rsidRPr="0032600A">
        <w:t xml:space="preserve"> below.</w:t>
      </w:r>
    </w:p>
    <w:p w14:paraId="44F50DB7" w14:textId="77777777" w:rsidR="0006569C" w:rsidRPr="0032600A" w:rsidRDefault="0006569C" w:rsidP="007A2340">
      <w:pPr>
        <w:pStyle w:val="standard"/>
        <w:numPr>
          <w:ilvl w:val="0"/>
          <w:numId w:val="30"/>
        </w:numPr>
      </w:pPr>
      <w:r w:rsidRPr="0032600A">
        <w:rPr>
          <w:i/>
        </w:rPr>
        <w:t xml:space="preserve">Level 4: Coherent scientific accounts (equivalent to NGSS high school performance expectations): </w:t>
      </w:r>
      <w:r w:rsidRPr="0032600A">
        <w:t xml:space="preserve">Students successfully trace matter and energy through carbon-transforming processes at multiple scales in space and time. </w:t>
      </w:r>
    </w:p>
    <w:p w14:paraId="081C0B3D" w14:textId="3436C123" w:rsidR="0006569C" w:rsidRPr="0032600A" w:rsidRDefault="0006569C" w:rsidP="007A2340">
      <w:pPr>
        <w:pStyle w:val="standard"/>
        <w:numPr>
          <w:ilvl w:val="0"/>
          <w:numId w:val="30"/>
        </w:numPr>
      </w:pPr>
      <w:r w:rsidRPr="0032600A">
        <w:rPr>
          <w:i/>
        </w:rPr>
        <w:t xml:space="preserve">Level 3: Incomplete or confused scientific accounts: </w:t>
      </w:r>
      <w:r w:rsidRPr="0032600A">
        <w:t xml:space="preserve">Students show awareness of important scientific principles and of models at smaller and larger scales, but they have difficulty connecting </w:t>
      </w:r>
      <w:r w:rsidR="00CF21C6">
        <w:t>models</w:t>
      </w:r>
      <w:r w:rsidR="00CF21C6" w:rsidRPr="0032600A">
        <w:t xml:space="preserve"> </w:t>
      </w:r>
      <w:r w:rsidRPr="0032600A">
        <w:t>at different scales and applying principles consistently.</w:t>
      </w:r>
    </w:p>
    <w:p w14:paraId="36E7C9E6" w14:textId="77636A1B" w:rsidR="0006569C" w:rsidRPr="0032600A" w:rsidRDefault="0006569C" w:rsidP="007A2340">
      <w:pPr>
        <w:pStyle w:val="standard"/>
        <w:numPr>
          <w:ilvl w:val="0"/>
          <w:numId w:val="30"/>
        </w:numPr>
      </w:pPr>
      <w:r w:rsidRPr="0032600A">
        <w:rPr>
          <w:i/>
        </w:rPr>
        <w:t>Levels 1</w:t>
      </w:r>
      <w:r w:rsidRPr="0032600A">
        <w:rPr>
          <w:rStyle w:val="FootnoteReference"/>
          <w:rFonts w:eastAsiaTheme="majorEastAsia"/>
          <w:i/>
          <w:iCs/>
          <w:szCs w:val="24"/>
        </w:rPr>
        <w:footnoteReference w:id="3"/>
      </w:r>
      <w:r w:rsidRPr="0032600A">
        <w:rPr>
          <w:i/>
        </w:rPr>
        <w:t xml:space="preserve"> and 2: Force-dynamic accounts:</w:t>
      </w:r>
      <w:r w:rsidRPr="0032600A">
        <w:rPr>
          <w:b/>
        </w:rPr>
        <w:t xml:space="preserve"> </w:t>
      </w:r>
      <w:r w:rsidRPr="0032600A">
        <w:t xml:space="preserve">Rather than tracing matter and energy students’ explanations and arguments focus on actors (e.g., animals, plants, people) and enablers (e.g., food, water, sunlight) </w:t>
      </w:r>
      <w:r w:rsidR="009C49DB">
        <w:t>to which the students attribute agency</w:t>
      </w:r>
      <w:r w:rsidRPr="0032600A">
        <w:t>.</w:t>
      </w:r>
    </w:p>
    <w:p w14:paraId="440200CB" w14:textId="63DC7DF0" w:rsidR="00172E5C" w:rsidRDefault="0006569C" w:rsidP="00172E5C">
      <w:pPr>
        <w:pStyle w:val="standard"/>
      </w:pPr>
      <w:r w:rsidRPr="00E06A9C">
        <w:rPr>
          <w:b/>
        </w:rPr>
        <w:t xml:space="preserve">IRT Analysis. </w:t>
      </w:r>
      <w:r w:rsidR="009D5CEB">
        <w:t xml:space="preserve">Using </w:t>
      </w:r>
      <w:r w:rsidRPr="0032600A">
        <w:t xml:space="preserve">item response theory (IRT), we generated estimates </w:t>
      </w:r>
      <w:r w:rsidR="009D5CEB">
        <w:t xml:space="preserve">of student ability </w:t>
      </w:r>
      <w:r w:rsidRPr="0032600A">
        <w:t>that can be used to evaluate students’ three-dimensional learning for all the items included in each test. Although different tests had different items, overlapping items made it possible to calibrate item and test difficulties across years and across test forms on the same scale (</w:t>
      </w:r>
      <w:proofErr w:type="spellStart"/>
      <w:r w:rsidRPr="0032600A">
        <w:t>Kelderman</w:t>
      </w:r>
      <w:proofErr w:type="spellEnd"/>
      <w:r w:rsidRPr="0032600A">
        <w:t>, 1988). Th</w:t>
      </w:r>
      <w:r w:rsidR="009D5CEB">
        <w:t xml:space="preserve">erefore, </w:t>
      </w:r>
      <w:r w:rsidRPr="0032600A">
        <w:t xml:space="preserve">an estimate was generated as a calculated proficiency for each student, on each test, and these estimates across different years and different tests were calibrated </w:t>
      </w:r>
      <w:r w:rsidR="005F3EB5">
        <w:t xml:space="preserve">on </w:t>
      </w:r>
      <w:r w:rsidRPr="0032600A">
        <w:t xml:space="preserve">the same scale. </w:t>
      </w:r>
    </w:p>
    <w:p w14:paraId="7785C090" w14:textId="5B481C00" w:rsidR="00B3560C" w:rsidRDefault="00E06568" w:rsidP="00C26B7C">
      <w:pPr>
        <w:pStyle w:val="standard"/>
      </w:pPr>
      <w:r>
        <w:rPr>
          <w:rFonts w:hint="eastAsia"/>
        </w:rPr>
        <w:lastRenderedPageBreak/>
        <w:t>W</w:t>
      </w:r>
      <w:r>
        <w:t xml:space="preserve">e report </w:t>
      </w:r>
      <w:r w:rsidR="008479A6">
        <w:t xml:space="preserve">the </w:t>
      </w:r>
      <w:r w:rsidR="00564209">
        <w:t xml:space="preserve">test reliability </w:t>
      </w:r>
      <w:r w:rsidR="00F1314D">
        <w:t xml:space="preserve">coefficient </w:t>
      </w:r>
      <w:r w:rsidR="00564209">
        <w:t xml:space="preserve">and </w:t>
      </w:r>
      <w:r w:rsidR="00F1314D">
        <w:t xml:space="preserve">percentage of </w:t>
      </w:r>
      <w:r w:rsidR="005650A0">
        <w:t xml:space="preserve">person </w:t>
      </w:r>
      <w:r w:rsidR="008479A6">
        <w:t>mis</w:t>
      </w:r>
      <w:r w:rsidR="005650A0">
        <w:t xml:space="preserve">fit </w:t>
      </w:r>
      <w:r w:rsidR="008479A6">
        <w:t xml:space="preserve">for each test </w:t>
      </w:r>
      <w:r w:rsidR="005650A0">
        <w:t xml:space="preserve">in </w:t>
      </w:r>
      <w:r w:rsidR="00172E5C">
        <w:t>supplemental materials (see Table S1)</w:t>
      </w:r>
      <w:r w:rsidR="00DC0E0F">
        <w:t xml:space="preserve">. </w:t>
      </w:r>
      <w:r w:rsidR="00381308">
        <w:t xml:space="preserve">The reliabilities </w:t>
      </w:r>
      <w:r w:rsidR="00D971C0">
        <w:t xml:space="preserve">range from acceptable (0.7 to 0.8) to good (0.8 to 0.9). </w:t>
      </w:r>
      <w:r w:rsidR="004C2940">
        <w:t xml:space="preserve">The median percentage of persons with </w:t>
      </w:r>
      <w:r w:rsidR="00753660">
        <w:t>mis</w:t>
      </w:r>
      <w:r w:rsidR="004C2940">
        <w:t>fit values across all tests and years is approximately 13%</w:t>
      </w:r>
      <w:r w:rsidR="00753660">
        <w:t xml:space="preserve">, and most distributions of person fit statistics show </w:t>
      </w:r>
      <w:r w:rsidR="0085148D">
        <w:t xml:space="preserve">a </w:t>
      </w:r>
      <w:r w:rsidR="00525B6F">
        <w:t>noticeable</w:t>
      </w:r>
      <w:r w:rsidR="0085148D">
        <w:t xml:space="preserve"> right skew. </w:t>
      </w:r>
      <w:r w:rsidR="00205243">
        <w:t>W</w:t>
      </w:r>
      <w:r w:rsidR="00390C82">
        <w:t>ith large sample</w:t>
      </w:r>
      <w:r w:rsidR="008C7F4B">
        <w:t>s (e.g., greater than 50,000) parametric t</w:t>
      </w:r>
      <w:r w:rsidR="00895A19">
        <w:t xml:space="preserve">echniques are </w:t>
      </w:r>
      <w:r w:rsidR="00205243">
        <w:t>less</w:t>
      </w:r>
      <w:r w:rsidR="00895A19">
        <w:t xml:space="preserve"> affected by</w:t>
      </w:r>
      <w:r w:rsidR="00A45009">
        <w:t xml:space="preserve"> skew </w:t>
      </w:r>
      <w:r w:rsidR="00390C82">
        <w:t>(</w:t>
      </w:r>
      <w:r w:rsidR="00525B6F">
        <w:t>Lumley et</w:t>
      </w:r>
      <w:r w:rsidR="00390C82">
        <w:t xml:space="preserve"> </w:t>
      </w:r>
      <w:r w:rsidR="00525B6F">
        <w:t xml:space="preserve">al., </w:t>
      </w:r>
      <w:r w:rsidR="00CD576B">
        <w:t>2002</w:t>
      </w:r>
      <w:r w:rsidR="00390C82">
        <w:t xml:space="preserve">). </w:t>
      </w:r>
    </w:p>
    <w:p w14:paraId="332D1871" w14:textId="6ED61461" w:rsidR="0006569C" w:rsidRPr="0032600A" w:rsidRDefault="0006569C" w:rsidP="007A2340">
      <w:pPr>
        <w:pStyle w:val="standard"/>
      </w:pPr>
      <w:r w:rsidRPr="00E06A9C">
        <w:rPr>
          <w:b/>
        </w:rPr>
        <w:t xml:space="preserve">Logit </w:t>
      </w:r>
      <w:r>
        <w:rPr>
          <w:b/>
        </w:rPr>
        <w:t>S</w:t>
      </w:r>
      <w:r w:rsidRPr="00E06A9C">
        <w:rPr>
          <w:b/>
        </w:rPr>
        <w:t xml:space="preserve">cale </w:t>
      </w:r>
      <w:r>
        <w:rPr>
          <w:b/>
        </w:rPr>
        <w:t>S</w:t>
      </w:r>
      <w:r w:rsidRPr="00E06A9C">
        <w:rPr>
          <w:b/>
        </w:rPr>
        <w:t>cores</w:t>
      </w:r>
      <w:r>
        <w:rPr>
          <w:b/>
        </w:rPr>
        <w:t>.</w:t>
      </w:r>
      <w:r w:rsidRPr="00E06A9C">
        <w:rPr>
          <w:b/>
        </w:rPr>
        <w:t xml:space="preserve"> </w:t>
      </w:r>
      <w:r w:rsidRPr="0032600A">
        <w:t xml:space="preserve">The resulting scale units (logits) were a measure of how likely a student of </w:t>
      </w:r>
      <w:r w:rsidR="005F3EB5">
        <w:t xml:space="preserve">a given </w:t>
      </w:r>
      <w:r w:rsidRPr="0032600A">
        <w:t xml:space="preserve">proficiency was to achieve a particular scoring level on a given item, where 0 represented the overall student mean across all tests. To give a better sense of the logit scale, we also built a link between logits and learning progression level frameworks. We </w:t>
      </w:r>
      <w:r w:rsidR="00205243">
        <w:t>calculated</w:t>
      </w:r>
      <w:r w:rsidR="00205243" w:rsidRPr="0032600A">
        <w:t xml:space="preserve"> </w:t>
      </w:r>
      <w:r w:rsidRPr="0032600A">
        <w:t xml:space="preserve">threshold values for which we can claim that a certain logit indicated the student was most likely to be at a certain level in the learning progression framework described above: </w:t>
      </w:r>
    </w:p>
    <w:p w14:paraId="640F8263" w14:textId="77777777" w:rsidR="0006569C" w:rsidRPr="0032600A" w:rsidRDefault="0006569C" w:rsidP="00BE051D">
      <w:pPr>
        <w:pStyle w:val="standard"/>
        <w:numPr>
          <w:ilvl w:val="0"/>
          <w:numId w:val="31"/>
        </w:numPr>
      </w:pPr>
      <w:r w:rsidRPr="0032600A">
        <w:t xml:space="preserve">If a student’s </w:t>
      </w:r>
      <w:r>
        <w:t xml:space="preserve">logit </w:t>
      </w:r>
      <w:r w:rsidRPr="0032600A">
        <w:t>score was above 0.96, the student</w:t>
      </w:r>
      <w:r>
        <w:t>’s overall proficiency</w:t>
      </w:r>
      <w:r w:rsidRPr="0032600A">
        <w:t xml:space="preserve"> was most likely at level 4 (equivalent to NGSS high school performance expectations).</w:t>
      </w:r>
    </w:p>
    <w:p w14:paraId="4209F9EA" w14:textId="280C6F54" w:rsidR="0006569C" w:rsidRPr="0032600A" w:rsidRDefault="0006569C" w:rsidP="00BE051D">
      <w:pPr>
        <w:pStyle w:val="standard"/>
        <w:numPr>
          <w:ilvl w:val="0"/>
          <w:numId w:val="31"/>
        </w:numPr>
      </w:pPr>
      <w:r w:rsidRPr="0032600A">
        <w:t>If the</w:t>
      </w:r>
      <w:r w:rsidRPr="00DD1278">
        <w:t xml:space="preserve"> </w:t>
      </w:r>
      <w:r>
        <w:t>logit</w:t>
      </w:r>
      <w:r w:rsidRPr="0032600A">
        <w:t xml:space="preserve"> score was between </w:t>
      </w:r>
      <w:r w:rsidR="006C18E6">
        <w:t>–</w:t>
      </w:r>
      <w:r w:rsidRPr="0032600A">
        <w:t>0.34 and 0.96, the student</w:t>
      </w:r>
      <w:r>
        <w:t>’s overall proficiency</w:t>
      </w:r>
      <w:r w:rsidRPr="0032600A" w:rsidDel="00DD1278">
        <w:t xml:space="preserve"> </w:t>
      </w:r>
      <w:r w:rsidRPr="0032600A">
        <w:t xml:space="preserve">was most likely at level 3 (incomplete or confused scientific accounts). </w:t>
      </w:r>
    </w:p>
    <w:p w14:paraId="13C559B5" w14:textId="289D6387" w:rsidR="0006569C" w:rsidRPr="0032600A" w:rsidRDefault="0006569C" w:rsidP="00BE051D">
      <w:pPr>
        <w:pStyle w:val="standard"/>
        <w:numPr>
          <w:ilvl w:val="0"/>
          <w:numId w:val="31"/>
        </w:numPr>
      </w:pPr>
      <w:r w:rsidRPr="0032600A">
        <w:t>If a student’s</w:t>
      </w:r>
      <w:r w:rsidRPr="00DD1278">
        <w:t xml:space="preserve"> </w:t>
      </w:r>
      <w:r>
        <w:t>logit</w:t>
      </w:r>
      <w:r w:rsidRPr="0032600A">
        <w:t xml:space="preserve"> score was below </w:t>
      </w:r>
      <w:r w:rsidR="006C18E6">
        <w:t>–</w:t>
      </w:r>
      <w:r w:rsidRPr="0032600A">
        <w:t>0.34, the student</w:t>
      </w:r>
      <w:r>
        <w:t>’s overall proficiency</w:t>
      </w:r>
      <w:r w:rsidRPr="0032600A" w:rsidDel="00DD1278">
        <w:t xml:space="preserve"> </w:t>
      </w:r>
      <w:r w:rsidRPr="0032600A">
        <w:t xml:space="preserve">was most likely at level 2 (force-dynamic explanations and arguments). </w:t>
      </w:r>
    </w:p>
    <w:p w14:paraId="1CAAEFBC" w14:textId="0C1615BB" w:rsidR="00992640" w:rsidRPr="007E5E2B" w:rsidRDefault="00992640" w:rsidP="00992640">
      <w:pPr>
        <w:pStyle w:val="Heading2"/>
      </w:pPr>
      <w:bookmarkStart w:id="22" w:name="_Toc67662787"/>
      <w:bookmarkStart w:id="23" w:name="_Toc71207810"/>
      <w:r w:rsidRPr="007E5E2B">
        <w:t>Data</w:t>
      </w:r>
      <w:r>
        <w:t>set</w:t>
      </w:r>
      <w:r w:rsidR="00DA005D">
        <w:t>s</w:t>
      </w:r>
      <w:bookmarkEnd w:id="22"/>
      <w:bookmarkEnd w:id="23"/>
    </w:p>
    <w:p w14:paraId="35676DB8" w14:textId="6767048D" w:rsidR="007A62CF" w:rsidRDefault="00827F1D" w:rsidP="00782E2C">
      <w:pPr>
        <w:pStyle w:val="standard"/>
      </w:pPr>
      <w:r w:rsidRPr="0032600A">
        <w:t>This paper presents findings based on students’ test performances on the logit scale from 2015–</w:t>
      </w:r>
      <w:r w:rsidR="00BE051D">
        <w:t>20</w:t>
      </w:r>
      <w:r w:rsidRPr="0032600A">
        <w:t>16 through 2018–</w:t>
      </w:r>
      <w:r w:rsidR="00BE051D">
        <w:t>20</w:t>
      </w:r>
      <w:r w:rsidRPr="0032600A">
        <w:t>19.</w:t>
      </w:r>
      <w:r>
        <w:t xml:space="preserve"> </w:t>
      </w:r>
      <w:r w:rsidRPr="0032600A">
        <w:t xml:space="preserve">In addition to student learning data, we also collected publicly available information for schools of our participating teachers, including percent of free and reduced lunch and percent of marginalized students of color. </w:t>
      </w:r>
      <w:r w:rsidR="007A62CF" w:rsidRPr="0032600A">
        <w:t xml:space="preserve">Using </w:t>
      </w:r>
      <w:r w:rsidR="009E2E5F">
        <w:t>the online assessment</w:t>
      </w:r>
      <w:r w:rsidR="009E2E5F" w:rsidRPr="0032600A">
        <w:t xml:space="preserve"> </w:t>
      </w:r>
      <w:r w:rsidR="007A62CF" w:rsidRPr="0032600A">
        <w:lastRenderedPageBreak/>
        <w:t>system, we collect</w:t>
      </w:r>
      <w:r w:rsidR="00992640">
        <w:t>ed</w:t>
      </w:r>
      <w:r w:rsidR="007A62CF" w:rsidRPr="0032600A">
        <w:t xml:space="preserve"> a large database: 197,000 student assessments from over 25,000 students </w:t>
      </w:r>
      <w:r w:rsidR="00992640">
        <w:t xml:space="preserve">across </w:t>
      </w:r>
      <w:r w:rsidR="007A62CF" w:rsidRPr="0032600A">
        <w:t>1</w:t>
      </w:r>
      <w:r w:rsidR="007A62CF">
        <w:t>78</w:t>
      </w:r>
      <w:r w:rsidR="007A62CF" w:rsidRPr="0032600A">
        <w:t xml:space="preserve"> teachers</w:t>
      </w:r>
      <w:r w:rsidR="00992640">
        <w:t>’ classrooms</w:t>
      </w:r>
      <w:r w:rsidR="007A62CF" w:rsidRPr="0032600A">
        <w:t xml:space="preserve"> over a </w:t>
      </w:r>
      <w:r w:rsidR="00992640">
        <w:t>4</w:t>
      </w:r>
      <w:r w:rsidR="007A62CF" w:rsidRPr="0032600A">
        <w:t xml:space="preserve">-year period. </w:t>
      </w:r>
      <w:r w:rsidR="007A62CF">
        <w:t xml:space="preserve">To </w:t>
      </w:r>
      <w:r w:rsidR="00992640">
        <w:t>ensure the validity of our analysis</w:t>
      </w:r>
      <w:r w:rsidR="007A62CF">
        <w:t xml:space="preserve">, </w:t>
      </w:r>
      <w:r w:rsidR="00C86D80">
        <w:t>we</w:t>
      </w:r>
      <w:r w:rsidR="00992640">
        <w:t xml:space="preserve"> </w:t>
      </w:r>
      <w:r w:rsidR="007A62CF">
        <w:t>exclude</w:t>
      </w:r>
      <w:r w:rsidR="00992640">
        <w:t>d</w:t>
      </w:r>
      <w:r w:rsidR="007A62CF">
        <w:t xml:space="preserve"> incomplete and unreliable data, as described below. </w:t>
      </w:r>
    </w:p>
    <w:p w14:paraId="50E9A8D7" w14:textId="77777777" w:rsidR="007A62CF" w:rsidRPr="0032600A" w:rsidRDefault="007A62CF" w:rsidP="00B100A0">
      <w:pPr>
        <w:pStyle w:val="Heading3"/>
      </w:pPr>
      <w:bookmarkStart w:id="24" w:name="_Toc67662788"/>
      <w:bookmarkStart w:id="25" w:name="_Toc71207811"/>
      <w:r w:rsidRPr="0032600A">
        <w:t xml:space="preserve">Selection of </w:t>
      </w:r>
      <w:r>
        <w:t>S</w:t>
      </w:r>
      <w:r w:rsidRPr="0032600A">
        <w:t xml:space="preserve">tudents and </w:t>
      </w:r>
      <w:r>
        <w:t>T</w:t>
      </w:r>
      <w:r w:rsidRPr="0032600A">
        <w:t>eachers</w:t>
      </w:r>
      <w:bookmarkEnd w:id="24"/>
      <w:bookmarkEnd w:id="25"/>
      <w:r w:rsidRPr="0032600A">
        <w:t xml:space="preserve"> </w:t>
      </w:r>
    </w:p>
    <w:p w14:paraId="2EFF2D6D" w14:textId="581A7846" w:rsidR="007A62CF" w:rsidRDefault="007A62CF" w:rsidP="00503271">
      <w:pPr>
        <w:pStyle w:val="standard"/>
      </w:pPr>
      <w:r w:rsidRPr="0032600A">
        <w:t>We restricted our sample</w:t>
      </w:r>
      <w:r w:rsidR="00A458CE">
        <w:t>s</w:t>
      </w:r>
      <w:r w:rsidRPr="0032600A">
        <w:t xml:space="preserve"> for analysis to students and teachers for whom we had relatively complete</w:t>
      </w:r>
      <w:r w:rsidR="001139A7">
        <w:t xml:space="preserve"> </w:t>
      </w:r>
      <w:r w:rsidR="001139A7">
        <w:t>and accurate</w:t>
      </w:r>
      <w:r w:rsidRPr="0032600A">
        <w:t xml:space="preserve"> </w:t>
      </w:r>
      <w:r w:rsidRPr="0032600A">
        <w:t>data. Specifically, we include</w:t>
      </w:r>
      <w:r>
        <w:t>d</w:t>
      </w:r>
      <w:r w:rsidRPr="0032600A">
        <w:t xml:space="preserve"> (1) students who completed both the overall pretests and unit posttests, enabling pre-post analyses for individual students; and (2) teachers whose classroom data included valid overall pretest and unit posttest data for at least 15 students on at least 2 of the 3 focus units </w:t>
      </w:r>
      <w:r w:rsidR="00C2041F">
        <w:t>(</w:t>
      </w:r>
      <w:r w:rsidRPr="004C1308">
        <w:rPr>
          <w:i/>
        </w:rPr>
        <w:t>System</w:t>
      </w:r>
      <w:r w:rsidR="00C2041F" w:rsidRPr="004C1308">
        <w:rPr>
          <w:i/>
        </w:rPr>
        <w:t>s</w:t>
      </w:r>
      <w:r w:rsidRPr="004C1308">
        <w:rPr>
          <w:i/>
        </w:rPr>
        <w:t xml:space="preserve"> and Scale, Animal</w:t>
      </w:r>
      <w:r w:rsidR="00C2041F" w:rsidRPr="004C1308">
        <w:rPr>
          <w:i/>
        </w:rPr>
        <w:t>s</w:t>
      </w:r>
      <w:r w:rsidRPr="004C1308">
        <w:rPr>
          <w:i/>
        </w:rPr>
        <w:t xml:space="preserve">, </w:t>
      </w:r>
      <w:r w:rsidRPr="00C2041F">
        <w:t>and</w:t>
      </w:r>
      <w:r w:rsidRPr="004C1308">
        <w:rPr>
          <w:i/>
        </w:rPr>
        <w:t xml:space="preserve"> Plants</w:t>
      </w:r>
      <w:r w:rsidRPr="0032600A">
        <w:t xml:space="preserve">). </w:t>
      </w:r>
      <w:r>
        <w:t>We also excluded students who had extremely low scores (for either pretest or posttest), as the low</w:t>
      </w:r>
      <w:r w:rsidR="00637929">
        <w:t>est</w:t>
      </w:r>
      <w:r>
        <w:t xml:space="preserve"> scores were </w:t>
      </w:r>
      <w:r w:rsidR="00637929">
        <w:t>associated</w:t>
      </w:r>
      <w:r>
        <w:t xml:space="preserve"> with short finish times,</w:t>
      </w:r>
      <w:r w:rsidR="00637929">
        <w:t xml:space="preserve"> unanswered questions,</w:t>
      </w:r>
      <w:r>
        <w:t xml:space="preserve"> or a large proportion of off-topic answers, indicating a lack of effort. </w:t>
      </w:r>
      <w:r w:rsidR="00641435">
        <w:t xml:space="preserve">See supplementary materials </w:t>
      </w:r>
      <w:r w:rsidR="005938E3">
        <w:t xml:space="preserve">for </w:t>
      </w:r>
      <w:r w:rsidR="009779F1">
        <w:t xml:space="preserve">more details about how this data exclusion procedure affects </w:t>
      </w:r>
      <w:r w:rsidR="00F67CD0">
        <w:t>sample size</w:t>
      </w:r>
      <w:r w:rsidR="0037506C">
        <w:t xml:space="preserve">, </w:t>
      </w:r>
      <w:r w:rsidR="00756552">
        <w:t xml:space="preserve">and </w:t>
      </w:r>
      <w:r w:rsidR="00D777C2">
        <w:t xml:space="preserve">distributions </w:t>
      </w:r>
      <w:r w:rsidR="009779F1">
        <w:t xml:space="preserve">of </w:t>
      </w:r>
      <w:r w:rsidR="006F7769">
        <w:t>overall pretest, unit posttest, and gain scores</w:t>
      </w:r>
      <w:r w:rsidR="0037506C">
        <w:t xml:space="preserve">. </w:t>
      </w:r>
    </w:p>
    <w:p w14:paraId="358DADC5" w14:textId="10AE83A3" w:rsidR="00C85AC7" w:rsidRDefault="00313789" w:rsidP="0034584B">
      <w:pPr>
        <w:pStyle w:val="standard"/>
      </w:pPr>
      <w:r w:rsidRPr="00405C36">
        <w:t xml:space="preserve">Table 1 shows the composition of the analytical samples of student learning outcome data. </w:t>
      </w:r>
      <w:r w:rsidR="00D427C2">
        <w:t xml:space="preserve">After omitting such cases, the final </w:t>
      </w:r>
      <w:r w:rsidR="00D427C2" w:rsidRPr="0032600A">
        <w:t>data</w:t>
      </w:r>
      <w:r w:rsidR="00D427C2">
        <w:t>set</w:t>
      </w:r>
      <w:r w:rsidR="00D427C2" w:rsidRPr="0032600A">
        <w:t xml:space="preserve"> </w:t>
      </w:r>
      <w:r w:rsidR="00D427C2">
        <w:t xml:space="preserve">included assessments from students across </w:t>
      </w:r>
      <w:r w:rsidR="00D427C2" w:rsidRPr="0032600A">
        <w:t xml:space="preserve">245 </w:t>
      </w:r>
      <w:r w:rsidR="001139A7">
        <w:t>Teacher Year</w:t>
      </w:r>
      <w:r w:rsidR="001139A7" w:rsidRPr="0032600A">
        <w:t>s</w:t>
      </w:r>
      <w:r w:rsidR="001139A7" w:rsidRPr="0032600A">
        <w:t xml:space="preserve"> </w:t>
      </w:r>
      <w:r w:rsidR="00D427C2">
        <w:t>instructed by</w:t>
      </w:r>
      <w:r w:rsidR="00D427C2" w:rsidRPr="0032600A">
        <w:t xml:space="preserve"> 133</w:t>
      </w:r>
      <w:r w:rsidR="00D427C2">
        <w:t xml:space="preserve"> </w:t>
      </w:r>
      <w:r w:rsidR="00D427C2" w:rsidRPr="0032600A">
        <w:t>teachers who participated in the project from 2015–</w:t>
      </w:r>
      <w:r w:rsidR="00D427C2">
        <w:t>20</w:t>
      </w:r>
      <w:r w:rsidR="00D427C2" w:rsidRPr="0032600A">
        <w:t>16 to 2018–</w:t>
      </w:r>
      <w:r w:rsidR="00D427C2">
        <w:t>20</w:t>
      </w:r>
      <w:r w:rsidR="00D427C2" w:rsidRPr="0032600A">
        <w:t xml:space="preserve">19 academic years. </w:t>
      </w:r>
      <w:r w:rsidR="00FE5CF4">
        <w:t>The percentage of students in these schools receiving free and reduced lunches ranged from 5%–99%, and the percentage of marginalized students of color ranged from 0%–100%;</w:t>
      </w:r>
      <w:r w:rsidR="0097011F">
        <w:t xml:space="preserve"> </w:t>
      </w:r>
      <w:r w:rsidR="00ED5823">
        <w:t>thus, o</w:t>
      </w:r>
      <w:r w:rsidR="0020493B">
        <w:t>ur analytical sample</w:t>
      </w:r>
      <w:r w:rsidR="00D427C2">
        <w:t xml:space="preserve"> </w:t>
      </w:r>
      <w:r w:rsidR="00DD6D00">
        <w:t>includes</w:t>
      </w:r>
      <w:r w:rsidR="00D427C2">
        <w:t xml:space="preserve"> data from</w:t>
      </w:r>
      <w:r w:rsidR="002D2F07">
        <w:t xml:space="preserve"> a diverse </w:t>
      </w:r>
      <w:r w:rsidR="00DD6D00">
        <w:t xml:space="preserve">sample </w:t>
      </w:r>
      <w:r w:rsidR="0020493B">
        <w:t>of teachers and students</w:t>
      </w:r>
      <w:r w:rsidR="00C85AC7">
        <w:t>.</w:t>
      </w:r>
    </w:p>
    <w:p w14:paraId="1894CC94" w14:textId="7B69F158" w:rsidR="00564766" w:rsidRPr="00BD310A" w:rsidRDefault="00C85AC7" w:rsidP="00BD310A">
      <w:pPr>
        <w:pStyle w:val="standard"/>
        <w:spacing w:line="240" w:lineRule="auto"/>
        <w:ind w:firstLine="0"/>
        <w:rPr>
          <w:b/>
        </w:rPr>
      </w:pPr>
      <w:r w:rsidRPr="00BD310A">
        <w:rPr>
          <w:b/>
        </w:rPr>
        <w:t>Table 1</w:t>
      </w:r>
      <w:bookmarkStart w:id="26" w:name="_Toc67662789"/>
    </w:p>
    <w:p w14:paraId="30A5FFF4" w14:textId="77777777" w:rsidR="00564766" w:rsidRPr="0032600A" w:rsidRDefault="00564766" w:rsidP="00EB5728">
      <w:pPr>
        <w:pStyle w:val="standard"/>
        <w:spacing w:line="240" w:lineRule="auto"/>
        <w:ind w:firstLine="0"/>
        <w:rPr>
          <w:i/>
          <w:iCs/>
          <w:szCs w:val="24"/>
        </w:rPr>
      </w:pPr>
      <w:r>
        <w:rPr>
          <w:i/>
          <w:iCs/>
          <w:szCs w:val="24"/>
        </w:rPr>
        <w:t xml:space="preserve">Analytical Samples of </w:t>
      </w:r>
      <w:r w:rsidRPr="0032600A">
        <w:rPr>
          <w:i/>
          <w:iCs/>
          <w:szCs w:val="24"/>
        </w:rPr>
        <w:t xml:space="preserve">Student Learning Dataset </w:t>
      </w:r>
    </w:p>
    <w:tbl>
      <w:tblPr>
        <w:tblStyle w:val="TableGrid"/>
        <w:tblW w:w="0" w:type="auto"/>
        <w:tblLook w:val="04A0" w:firstRow="1" w:lastRow="0" w:firstColumn="1" w:lastColumn="0" w:noHBand="0" w:noVBand="1"/>
      </w:tblPr>
      <w:tblGrid>
        <w:gridCol w:w="3397"/>
        <w:gridCol w:w="1276"/>
        <w:gridCol w:w="1276"/>
        <w:gridCol w:w="1276"/>
        <w:gridCol w:w="1209"/>
        <w:gridCol w:w="916"/>
      </w:tblGrid>
      <w:tr w:rsidR="00564766" w:rsidRPr="00FA78EE" w14:paraId="4F5EDC46" w14:textId="77777777" w:rsidTr="00E52D07">
        <w:tc>
          <w:tcPr>
            <w:tcW w:w="9350" w:type="dxa"/>
            <w:gridSpan w:val="6"/>
            <w:vAlign w:val="center"/>
          </w:tcPr>
          <w:p w14:paraId="6B58F93F" w14:textId="77777777" w:rsidR="00564766" w:rsidRPr="00FA78EE" w:rsidRDefault="00564766" w:rsidP="00EB5728">
            <w:pPr>
              <w:jc w:val="center"/>
              <w:rPr>
                <w:bCs/>
                <w:iCs/>
                <w:sz w:val="22"/>
                <w:szCs w:val="22"/>
              </w:rPr>
            </w:pPr>
            <w:r w:rsidRPr="00FA78EE">
              <w:rPr>
                <w:bCs/>
                <w:iCs/>
                <w:sz w:val="22"/>
                <w:szCs w:val="22"/>
              </w:rPr>
              <w:t>Analytical Sample 1 (Research Question 1a)</w:t>
            </w:r>
          </w:p>
        </w:tc>
      </w:tr>
      <w:tr w:rsidR="00564766" w:rsidRPr="00FA78EE" w14:paraId="7734A95D" w14:textId="77777777" w:rsidTr="00E52D07">
        <w:tc>
          <w:tcPr>
            <w:tcW w:w="3397" w:type="dxa"/>
            <w:vAlign w:val="center"/>
          </w:tcPr>
          <w:p w14:paraId="053542F9" w14:textId="77777777" w:rsidR="00564766" w:rsidRPr="00FA78EE" w:rsidRDefault="00564766" w:rsidP="00EB5728">
            <w:pPr>
              <w:jc w:val="center"/>
              <w:rPr>
                <w:bCs/>
                <w:sz w:val="22"/>
                <w:szCs w:val="22"/>
              </w:rPr>
            </w:pPr>
            <w:r w:rsidRPr="00FA78EE">
              <w:rPr>
                <w:bCs/>
                <w:sz w:val="22"/>
                <w:szCs w:val="22"/>
              </w:rPr>
              <w:t>Year</w:t>
            </w:r>
          </w:p>
        </w:tc>
        <w:tc>
          <w:tcPr>
            <w:tcW w:w="1276" w:type="dxa"/>
            <w:vAlign w:val="center"/>
          </w:tcPr>
          <w:p w14:paraId="67570041" w14:textId="77777777" w:rsidR="00564766" w:rsidRPr="00FA78EE" w:rsidRDefault="00564766" w:rsidP="00EB5728">
            <w:pPr>
              <w:jc w:val="center"/>
              <w:rPr>
                <w:bCs/>
                <w:sz w:val="22"/>
                <w:szCs w:val="22"/>
              </w:rPr>
            </w:pPr>
            <w:r w:rsidRPr="00FA78EE">
              <w:rPr>
                <w:bCs/>
                <w:sz w:val="22"/>
                <w:szCs w:val="22"/>
              </w:rPr>
              <w:t>2015–</w:t>
            </w:r>
            <w:r>
              <w:rPr>
                <w:bCs/>
                <w:sz w:val="22"/>
                <w:szCs w:val="22"/>
              </w:rPr>
              <w:t>20</w:t>
            </w:r>
            <w:r w:rsidRPr="00FA78EE">
              <w:rPr>
                <w:bCs/>
                <w:sz w:val="22"/>
                <w:szCs w:val="22"/>
              </w:rPr>
              <w:t>16</w:t>
            </w:r>
          </w:p>
        </w:tc>
        <w:tc>
          <w:tcPr>
            <w:tcW w:w="1276" w:type="dxa"/>
            <w:vAlign w:val="center"/>
          </w:tcPr>
          <w:p w14:paraId="0FB1A77D" w14:textId="77777777" w:rsidR="00564766" w:rsidRPr="00FA78EE" w:rsidRDefault="00564766" w:rsidP="00EB5728">
            <w:pPr>
              <w:jc w:val="center"/>
              <w:rPr>
                <w:bCs/>
                <w:sz w:val="22"/>
                <w:szCs w:val="22"/>
              </w:rPr>
            </w:pPr>
            <w:r w:rsidRPr="00FA78EE">
              <w:rPr>
                <w:bCs/>
                <w:sz w:val="22"/>
                <w:szCs w:val="22"/>
              </w:rPr>
              <w:t>2016–</w:t>
            </w:r>
            <w:r>
              <w:rPr>
                <w:bCs/>
                <w:sz w:val="22"/>
                <w:szCs w:val="22"/>
              </w:rPr>
              <w:t>20</w:t>
            </w:r>
            <w:r w:rsidRPr="00FA78EE">
              <w:rPr>
                <w:bCs/>
                <w:sz w:val="22"/>
                <w:szCs w:val="22"/>
              </w:rPr>
              <w:t>17</w:t>
            </w:r>
          </w:p>
        </w:tc>
        <w:tc>
          <w:tcPr>
            <w:tcW w:w="1276" w:type="dxa"/>
            <w:vAlign w:val="center"/>
          </w:tcPr>
          <w:p w14:paraId="2D733323" w14:textId="77777777" w:rsidR="00564766" w:rsidRPr="00FA78EE" w:rsidRDefault="00564766" w:rsidP="00EB5728">
            <w:pPr>
              <w:jc w:val="center"/>
              <w:rPr>
                <w:bCs/>
                <w:sz w:val="22"/>
                <w:szCs w:val="22"/>
              </w:rPr>
            </w:pPr>
            <w:r w:rsidRPr="00FA78EE">
              <w:rPr>
                <w:bCs/>
                <w:sz w:val="22"/>
                <w:szCs w:val="22"/>
              </w:rPr>
              <w:t>2017–</w:t>
            </w:r>
            <w:r>
              <w:rPr>
                <w:bCs/>
                <w:sz w:val="22"/>
                <w:szCs w:val="22"/>
              </w:rPr>
              <w:t>20</w:t>
            </w:r>
            <w:r w:rsidRPr="00FA78EE">
              <w:rPr>
                <w:bCs/>
                <w:sz w:val="22"/>
                <w:szCs w:val="22"/>
              </w:rPr>
              <w:t>18</w:t>
            </w:r>
          </w:p>
        </w:tc>
        <w:tc>
          <w:tcPr>
            <w:tcW w:w="1209" w:type="dxa"/>
            <w:vAlign w:val="center"/>
          </w:tcPr>
          <w:p w14:paraId="377D9F8E" w14:textId="77777777" w:rsidR="00564766" w:rsidRPr="00FA78EE" w:rsidRDefault="00564766" w:rsidP="00EB5728">
            <w:pPr>
              <w:jc w:val="center"/>
              <w:rPr>
                <w:bCs/>
                <w:sz w:val="22"/>
                <w:szCs w:val="22"/>
              </w:rPr>
            </w:pPr>
            <w:r w:rsidRPr="00FA78EE">
              <w:rPr>
                <w:bCs/>
                <w:sz w:val="22"/>
                <w:szCs w:val="22"/>
              </w:rPr>
              <w:t>2018–</w:t>
            </w:r>
            <w:r>
              <w:rPr>
                <w:bCs/>
                <w:sz w:val="22"/>
                <w:szCs w:val="22"/>
              </w:rPr>
              <w:t>20</w:t>
            </w:r>
            <w:r w:rsidRPr="00FA78EE">
              <w:rPr>
                <w:bCs/>
                <w:sz w:val="22"/>
                <w:szCs w:val="22"/>
              </w:rPr>
              <w:t>19</w:t>
            </w:r>
          </w:p>
        </w:tc>
        <w:tc>
          <w:tcPr>
            <w:tcW w:w="916" w:type="dxa"/>
            <w:vAlign w:val="center"/>
          </w:tcPr>
          <w:p w14:paraId="695EDC41" w14:textId="77777777" w:rsidR="00564766" w:rsidRPr="00FA78EE" w:rsidRDefault="00564766" w:rsidP="00EB5728">
            <w:pPr>
              <w:jc w:val="center"/>
              <w:rPr>
                <w:bCs/>
                <w:sz w:val="22"/>
                <w:szCs w:val="22"/>
              </w:rPr>
            </w:pPr>
            <w:r w:rsidRPr="00FA78EE">
              <w:rPr>
                <w:bCs/>
                <w:sz w:val="22"/>
                <w:szCs w:val="22"/>
              </w:rPr>
              <w:t>Total</w:t>
            </w:r>
          </w:p>
        </w:tc>
      </w:tr>
      <w:tr w:rsidR="00564766" w:rsidRPr="00FA78EE" w14:paraId="3F3C8972" w14:textId="77777777" w:rsidTr="00E52D07">
        <w:tc>
          <w:tcPr>
            <w:tcW w:w="3397" w:type="dxa"/>
            <w:vAlign w:val="center"/>
          </w:tcPr>
          <w:p w14:paraId="3A524960" w14:textId="77777777" w:rsidR="00564766" w:rsidRPr="00FA78EE" w:rsidRDefault="00564766" w:rsidP="00EB5728">
            <w:pPr>
              <w:jc w:val="center"/>
              <w:rPr>
                <w:bCs/>
                <w:iCs/>
                <w:sz w:val="22"/>
                <w:szCs w:val="22"/>
              </w:rPr>
            </w:pPr>
            <w:r w:rsidRPr="00FA78EE">
              <w:rPr>
                <w:bCs/>
                <w:sz w:val="22"/>
                <w:szCs w:val="22"/>
              </w:rPr>
              <w:t>Student baseline posttests</w:t>
            </w:r>
          </w:p>
        </w:tc>
        <w:tc>
          <w:tcPr>
            <w:tcW w:w="1276" w:type="dxa"/>
            <w:vAlign w:val="center"/>
          </w:tcPr>
          <w:p w14:paraId="01D5B3A2"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1,988</w:t>
            </w:r>
          </w:p>
        </w:tc>
        <w:tc>
          <w:tcPr>
            <w:tcW w:w="1276" w:type="dxa"/>
            <w:vAlign w:val="center"/>
          </w:tcPr>
          <w:p w14:paraId="7E58F376"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1,264</w:t>
            </w:r>
          </w:p>
        </w:tc>
        <w:tc>
          <w:tcPr>
            <w:tcW w:w="1276" w:type="dxa"/>
            <w:vAlign w:val="center"/>
          </w:tcPr>
          <w:p w14:paraId="3580FD1E"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NA</w:t>
            </w:r>
          </w:p>
        </w:tc>
        <w:tc>
          <w:tcPr>
            <w:tcW w:w="1209" w:type="dxa"/>
            <w:vAlign w:val="center"/>
          </w:tcPr>
          <w:p w14:paraId="307B2D0F"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NA</w:t>
            </w:r>
          </w:p>
        </w:tc>
        <w:tc>
          <w:tcPr>
            <w:tcW w:w="916" w:type="dxa"/>
            <w:vAlign w:val="center"/>
          </w:tcPr>
          <w:p w14:paraId="007C6508"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3,252</w:t>
            </w:r>
          </w:p>
        </w:tc>
      </w:tr>
      <w:tr w:rsidR="00564766" w:rsidRPr="00FA78EE" w14:paraId="5EA67FA2" w14:textId="77777777" w:rsidTr="00E52D07">
        <w:tc>
          <w:tcPr>
            <w:tcW w:w="3397" w:type="dxa"/>
            <w:vAlign w:val="center"/>
          </w:tcPr>
          <w:p w14:paraId="1071B455" w14:textId="77777777" w:rsidR="00564766" w:rsidRPr="00FA78EE" w:rsidRDefault="00564766" w:rsidP="00EB5728">
            <w:pPr>
              <w:jc w:val="center"/>
              <w:rPr>
                <w:bCs/>
                <w:sz w:val="22"/>
                <w:szCs w:val="22"/>
              </w:rPr>
            </w:pPr>
            <w:r w:rsidRPr="00FA78EE">
              <w:rPr>
                <w:bCs/>
                <w:sz w:val="22"/>
                <w:szCs w:val="22"/>
              </w:rPr>
              <w:lastRenderedPageBreak/>
              <w:t>Student full pretests</w:t>
            </w:r>
          </w:p>
        </w:tc>
        <w:tc>
          <w:tcPr>
            <w:tcW w:w="1276" w:type="dxa"/>
            <w:vAlign w:val="center"/>
          </w:tcPr>
          <w:p w14:paraId="751FDE9E" w14:textId="77777777" w:rsidR="00564766" w:rsidRPr="00FA78EE" w:rsidRDefault="00564766" w:rsidP="00EB5728">
            <w:pPr>
              <w:jc w:val="center"/>
              <w:rPr>
                <w:bCs/>
                <w:color w:val="000000" w:themeColor="text1"/>
                <w:sz w:val="22"/>
                <w:szCs w:val="22"/>
              </w:rPr>
            </w:pPr>
          </w:p>
        </w:tc>
        <w:tc>
          <w:tcPr>
            <w:tcW w:w="1276" w:type="dxa"/>
            <w:vAlign w:val="center"/>
          </w:tcPr>
          <w:p w14:paraId="62AC4703"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1,883</w:t>
            </w:r>
          </w:p>
        </w:tc>
        <w:tc>
          <w:tcPr>
            <w:tcW w:w="1276" w:type="dxa"/>
            <w:vAlign w:val="center"/>
          </w:tcPr>
          <w:p w14:paraId="062D226C"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1,312</w:t>
            </w:r>
          </w:p>
        </w:tc>
        <w:tc>
          <w:tcPr>
            <w:tcW w:w="1209" w:type="dxa"/>
            <w:vAlign w:val="center"/>
          </w:tcPr>
          <w:p w14:paraId="0C8E4508"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NA</w:t>
            </w:r>
          </w:p>
        </w:tc>
        <w:tc>
          <w:tcPr>
            <w:tcW w:w="916" w:type="dxa"/>
            <w:vAlign w:val="center"/>
          </w:tcPr>
          <w:p w14:paraId="48FAF56F"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3,195</w:t>
            </w:r>
          </w:p>
        </w:tc>
      </w:tr>
      <w:tr w:rsidR="00564766" w:rsidRPr="00FA78EE" w14:paraId="7D8A0283" w14:textId="77777777" w:rsidTr="00E52D07">
        <w:tc>
          <w:tcPr>
            <w:tcW w:w="3397" w:type="dxa"/>
            <w:vAlign w:val="center"/>
          </w:tcPr>
          <w:p w14:paraId="347B61AA" w14:textId="77777777" w:rsidR="00564766" w:rsidRPr="00FA78EE" w:rsidRDefault="00564766" w:rsidP="00EB5728">
            <w:pPr>
              <w:jc w:val="center"/>
              <w:rPr>
                <w:bCs/>
                <w:sz w:val="22"/>
                <w:szCs w:val="22"/>
              </w:rPr>
            </w:pPr>
            <w:r w:rsidRPr="00FA78EE">
              <w:rPr>
                <w:bCs/>
                <w:sz w:val="22"/>
                <w:szCs w:val="22"/>
              </w:rPr>
              <w:t>Student full posttests</w:t>
            </w:r>
          </w:p>
        </w:tc>
        <w:tc>
          <w:tcPr>
            <w:tcW w:w="1276" w:type="dxa"/>
            <w:vAlign w:val="center"/>
          </w:tcPr>
          <w:p w14:paraId="7C5E7B3D" w14:textId="77777777" w:rsidR="00564766" w:rsidRPr="00FA78EE" w:rsidRDefault="00564766" w:rsidP="00EB5728">
            <w:pPr>
              <w:jc w:val="center"/>
              <w:rPr>
                <w:bCs/>
                <w:color w:val="000000" w:themeColor="text1"/>
                <w:sz w:val="22"/>
                <w:szCs w:val="22"/>
              </w:rPr>
            </w:pPr>
          </w:p>
        </w:tc>
        <w:tc>
          <w:tcPr>
            <w:tcW w:w="1276" w:type="dxa"/>
            <w:vAlign w:val="center"/>
          </w:tcPr>
          <w:p w14:paraId="4FAAD41C"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1,883</w:t>
            </w:r>
          </w:p>
        </w:tc>
        <w:tc>
          <w:tcPr>
            <w:tcW w:w="1276" w:type="dxa"/>
            <w:vAlign w:val="center"/>
          </w:tcPr>
          <w:p w14:paraId="6798273D"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1,312</w:t>
            </w:r>
          </w:p>
        </w:tc>
        <w:tc>
          <w:tcPr>
            <w:tcW w:w="1209" w:type="dxa"/>
            <w:vAlign w:val="center"/>
          </w:tcPr>
          <w:p w14:paraId="53262CAB"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NA</w:t>
            </w:r>
          </w:p>
        </w:tc>
        <w:tc>
          <w:tcPr>
            <w:tcW w:w="916" w:type="dxa"/>
            <w:vAlign w:val="center"/>
          </w:tcPr>
          <w:p w14:paraId="7A8C9055" w14:textId="77777777" w:rsidR="00564766" w:rsidRPr="00FA78EE" w:rsidRDefault="00564766" w:rsidP="00EB5728">
            <w:pPr>
              <w:jc w:val="center"/>
              <w:rPr>
                <w:color w:val="000000" w:themeColor="text1"/>
                <w:sz w:val="22"/>
                <w:szCs w:val="22"/>
              </w:rPr>
            </w:pPr>
            <w:r w:rsidRPr="00FA78EE">
              <w:rPr>
                <w:color w:val="000000" w:themeColor="text1"/>
                <w:sz w:val="22"/>
                <w:szCs w:val="22"/>
              </w:rPr>
              <w:t>3,195</w:t>
            </w:r>
          </w:p>
        </w:tc>
      </w:tr>
      <w:tr w:rsidR="00564766" w:rsidRPr="00FA78EE" w14:paraId="7D00AA13" w14:textId="77777777" w:rsidTr="00E52D07">
        <w:tc>
          <w:tcPr>
            <w:tcW w:w="3397" w:type="dxa"/>
            <w:vAlign w:val="center"/>
          </w:tcPr>
          <w:p w14:paraId="328F62B0" w14:textId="77777777" w:rsidR="00564766" w:rsidRPr="00FA78EE" w:rsidRDefault="00564766" w:rsidP="00EB5728">
            <w:pPr>
              <w:jc w:val="center"/>
              <w:rPr>
                <w:bCs/>
                <w:sz w:val="22"/>
                <w:szCs w:val="22"/>
              </w:rPr>
            </w:pPr>
            <w:r w:rsidRPr="00FA78EE">
              <w:rPr>
                <w:bCs/>
                <w:sz w:val="22"/>
                <w:szCs w:val="22"/>
              </w:rPr>
              <w:t>Teachers providing baseline data</w:t>
            </w:r>
          </w:p>
        </w:tc>
        <w:tc>
          <w:tcPr>
            <w:tcW w:w="1276" w:type="dxa"/>
            <w:vAlign w:val="center"/>
          </w:tcPr>
          <w:p w14:paraId="41C9C098"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34</w:t>
            </w:r>
          </w:p>
        </w:tc>
        <w:tc>
          <w:tcPr>
            <w:tcW w:w="1276" w:type="dxa"/>
            <w:vAlign w:val="center"/>
          </w:tcPr>
          <w:p w14:paraId="73EE6C12"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22</w:t>
            </w:r>
          </w:p>
        </w:tc>
        <w:tc>
          <w:tcPr>
            <w:tcW w:w="1276" w:type="dxa"/>
            <w:vAlign w:val="center"/>
          </w:tcPr>
          <w:p w14:paraId="1CB4DB1D"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NA</w:t>
            </w:r>
          </w:p>
        </w:tc>
        <w:tc>
          <w:tcPr>
            <w:tcW w:w="1209" w:type="dxa"/>
            <w:vAlign w:val="center"/>
          </w:tcPr>
          <w:p w14:paraId="6146A2A7"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NA</w:t>
            </w:r>
          </w:p>
        </w:tc>
        <w:tc>
          <w:tcPr>
            <w:tcW w:w="916" w:type="dxa"/>
            <w:vAlign w:val="center"/>
          </w:tcPr>
          <w:p w14:paraId="6DDAC691"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56</w:t>
            </w:r>
          </w:p>
        </w:tc>
      </w:tr>
      <w:tr w:rsidR="00564766" w:rsidRPr="00FA78EE" w14:paraId="414FC0BB" w14:textId="77777777" w:rsidTr="00E52D07">
        <w:tc>
          <w:tcPr>
            <w:tcW w:w="9350" w:type="dxa"/>
            <w:gridSpan w:val="6"/>
            <w:vAlign w:val="center"/>
          </w:tcPr>
          <w:p w14:paraId="1D898F6B"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Analytical Sample 2 (All Research Questions)</w:t>
            </w:r>
          </w:p>
        </w:tc>
      </w:tr>
      <w:tr w:rsidR="00564766" w:rsidRPr="00FA78EE" w14:paraId="40507C9C" w14:textId="77777777" w:rsidTr="00E52D07">
        <w:tc>
          <w:tcPr>
            <w:tcW w:w="3397" w:type="dxa"/>
            <w:vAlign w:val="center"/>
          </w:tcPr>
          <w:p w14:paraId="2BA19D00" w14:textId="77777777" w:rsidR="00564766" w:rsidRPr="00FA78EE" w:rsidRDefault="00564766" w:rsidP="00EB5728">
            <w:pPr>
              <w:jc w:val="center"/>
              <w:rPr>
                <w:bCs/>
                <w:sz w:val="22"/>
                <w:szCs w:val="22"/>
              </w:rPr>
            </w:pPr>
            <w:r w:rsidRPr="00FA78EE">
              <w:rPr>
                <w:bCs/>
                <w:iCs/>
                <w:sz w:val="22"/>
                <w:szCs w:val="22"/>
              </w:rPr>
              <w:t>Year</w:t>
            </w:r>
          </w:p>
        </w:tc>
        <w:tc>
          <w:tcPr>
            <w:tcW w:w="1276" w:type="dxa"/>
            <w:vAlign w:val="center"/>
          </w:tcPr>
          <w:p w14:paraId="7210E562"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2015–</w:t>
            </w:r>
            <w:r>
              <w:rPr>
                <w:bCs/>
                <w:color w:val="000000" w:themeColor="text1"/>
                <w:sz w:val="22"/>
                <w:szCs w:val="22"/>
              </w:rPr>
              <w:t>20</w:t>
            </w:r>
            <w:r w:rsidRPr="00FA78EE">
              <w:rPr>
                <w:bCs/>
                <w:color w:val="000000" w:themeColor="text1"/>
                <w:sz w:val="22"/>
                <w:szCs w:val="22"/>
              </w:rPr>
              <w:t>16</w:t>
            </w:r>
          </w:p>
        </w:tc>
        <w:tc>
          <w:tcPr>
            <w:tcW w:w="1276" w:type="dxa"/>
            <w:vAlign w:val="center"/>
          </w:tcPr>
          <w:p w14:paraId="0D3CDF62"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2016–</w:t>
            </w:r>
            <w:r>
              <w:rPr>
                <w:bCs/>
                <w:color w:val="000000" w:themeColor="text1"/>
                <w:sz w:val="22"/>
                <w:szCs w:val="22"/>
              </w:rPr>
              <w:t>20</w:t>
            </w:r>
            <w:r w:rsidRPr="00FA78EE">
              <w:rPr>
                <w:bCs/>
                <w:color w:val="000000" w:themeColor="text1"/>
                <w:sz w:val="22"/>
                <w:szCs w:val="22"/>
              </w:rPr>
              <w:t>17</w:t>
            </w:r>
          </w:p>
        </w:tc>
        <w:tc>
          <w:tcPr>
            <w:tcW w:w="1276" w:type="dxa"/>
            <w:vAlign w:val="center"/>
          </w:tcPr>
          <w:p w14:paraId="735272F6"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2017–</w:t>
            </w:r>
            <w:r>
              <w:rPr>
                <w:bCs/>
                <w:color w:val="000000" w:themeColor="text1"/>
                <w:sz w:val="22"/>
                <w:szCs w:val="22"/>
              </w:rPr>
              <w:t>20</w:t>
            </w:r>
            <w:r w:rsidRPr="00FA78EE">
              <w:rPr>
                <w:bCs/>
                <w:color w:val="000000" w:themeColor="text1"/>
                <w:sz w:val="22"/>
                <w:szCs w:val="22"/>
              </w:rPr>
              <w:t>18</w:t>
            </w:r>
          </w:p>
        </w:tc>
        <w:tc>
          <w:tcPr>
            <w:tcW w:w="1209" w:type="dxa"/>
            <w:vAlign w:val="center"/>
          </w:tcPr>
          <w:p w14:paraId="3D1148B2"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2018–</w:t>
            </w:r>
            <w:r>
              <w:rPr>
                <w:bCs/>
                <w:color w:val="000000" w:themeColor="text1"/>
                <w:sz w:val="22"/>
                <w:szCs w:val="22"/>
              </w:rPr>
              <w:t>20</w:t>
            </w:r>
            <w:r w:rsidRPr="00FA78EE">
              <w:rPr>
                <w:bCs/>
                <w:color w:val="000000" w:themeColor="text1"/>
                <w:sz w:val="22"/>
                <w:szCs w:val="22"/>
              </w:rPr>
              <w:t>19</w:t>
            </w:r>
          </w:p>
        </w:tc>
        <w:tc>
          <w:tcPr>
            <w:tcW w:w="916" w:type="dxa"/>
            <w:vAlign w:val="center"/>
          </w:tcPr>
          <w:p w14:paraId="5B1E9BEB" w14:textId="77777777" w:rsidR="00564766" w:rsidRPr="00FA78EE" w:rsidRDefault="00564766" w:rsidP="00EB5728">
            <w:pPr>
              <w:jc w:val="center"/>
              <w:rPr>
                <w:bCs/>
                <w:color w:val="000000" w:themeColor="text1"/>
                <w:sz w:val="22"/>
                <w:szCs w:val="22"/>
              </w:rPr>
            </w:pPr>
            <w:r w:rsidRPr="00FA78EE">
              <w:rPr>
                <w:bCs/>
                <w:color w:val="000000" w:themeColor="text1"/>
                <w:sz w:val="22"/>
                <w:szCs w:val="22"/>
              </w:rPr>
              <w:t>Total</w:t>
            </w:r>
          </w:p>
        </w:tc>
      </w:tr>
      <w:tr w:rsidR="00564766" w:rsidRPr="00FA78EE" w14:paraId="4F709D90" w14:textId="77777777" w:rsidTr="00E52D07">
        <w:tc>
          <w:tcPr>
            <w:tcW w:w="3397" w:type="dxa"/>
            <w:vAlign w:val="center"/>
          </w:tcPr>
          <w:p w14:paraId="6AC93846" w14:textId="77777777" w:rsidR="00564766" w:rsidRPr="00FA78EE" w:rsidRDefault="00564766" w:rsidP="00EB5728">
            <w:pPr>
              <w:jc w:val="center"/>
              <w:rPr>
                <w:bCs/>
                <w:iCs/>
                <w:sz w:val="22"/>
                <w:szCs w:val="22"/>
              </w:rPr>
            </w:pPr>
            <w:r w:rsidRPr="00FA78EE">
              <w:rPr>
                <w:bCs/>
                <w:sz w:val="22"/>
                <w:szCs w:val="22"/>
              </w:rPr>
              <w:t>Student full pretests</w:t>
            </w:r>
          </w:p>
        </w:tc>
        <w:tc>
          <w:tcPr>
            <w:tcW w:w="1276" w:type="dxa"/>
            <w:vAlign w:val="center"/>
          </w:tcPr>
          <w:p w14:paraId="4480B9D5"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1,967</w:t>
            </w:r>
          </w:p>
        </w:tc>
        <w:tc>
          <w:tcPr>
            <w:tcW w:w="1276" w:type="dxa"/>
            <w:vAlign w:val="center"/>
          </w:tcPr>
          <w:p w14:paraId="19660982"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4,976</w:t>
            </w:r>
          </w:p>
        </w:tc>
        <w:tc>
          <w:tcPr>
            <w:tcW w:w="1276" w:type="dxa"/>
            <w:vAlign w:val="center"/>
          </w:tcPr>
          <w:p w14:paraId="7A876DA1"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5,932</w:t>
            </w:r>
          </w:p>
        </w:tc>
        <w:tc>
          <w:tcPr>
            <w:tcW w:w="1209" w:type="dxa"/>
            <w:vAlign w:val="center"/>
          </w:tcPr>
          <w:p w14:paraId="3885BC8A"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3,320</w:t>
            </w:r>
          </w:p>
        </w:tc>
        <w:tc>
          <w:tcPr>
            <w:tcW w:w="916" w:type="dxa"/>
            <w:vAlign w:val="center"/>
          </w:tcPr>
          <w:p w14:paraId="7D9EC821" w14:textId="77777777" w:rsidR="00564766" w:rsidRPr="00FA78EE" w:rsidRDefault="00564766" w:rsidP="00EB5728">
            <w:pPr>
              <w:jc w:val="center"/>
              <w:rPr>
                <w:bCs/>
                <w:iCs/>
                <w:color w:val="000000" w:themeColor="text1"/>
                <w:sz w:val="22"/>
                <w:szCs w:val="22"/>
              </w:rPr>
            </w:pPr>
            <w:r w:rsidRPr="00FA78EE">
              <w:rPr>
                <w:bCs/>
                <w:color w:val="000000" w:themeColor="text1"/>
                <w:sz w:val="22"/>
                <w:szCs w:val="22"/>
              </w:rPr>
              <w:t>16,195</w:t>
            </w:r>
          </w:p>
        </w:tc>
      </w:tr>
      <w:tr w:rsidR="00564766" w:rsidRPr="00FA78EE" w14:paraId="410357F7" w14:textId="77777777" w:rsidTr="00E52D07">
        <w:tc>
          <w:tcPr>
            <w:tcW w:w="3397" w:type="dxa"/>
            <w:vAlign w:val="center"/>
          </w:tcPr>
          <w:p w14:paraId="2E5975A8" w14:textId="77777777" w:rsidR="00564766" w:rsidRPr="00FA78EE" w:rsidRDefault="00564766" w:rsidP="00EB5728">
            <w:pPr>
              <w:jc w:val="center"/>
              <w:rPr>
                <w:bCs/>
                <w:sz w:val="22"/>
                <w:szCs w:val="22"/>
              </w:rPr>
            </w:pPr>
            <w:r w:rsidRPr="00FA78EE">
              <w:rPr>
                <w:bCs/>
                <w:sz w:val="22"/>
                <w:szCs w:val="22"/>
              </w:rPr>
              <w:t>Student unit posttests</w:t>
            </w:r>
          </w:p>
        </w:tc>
        <w:tc>
          <w:tcPr>
            <w:tcW w:w="1276" w:type="dxa"/>
            <w:vAlign w:val="center"/>
          </w:tcPr>
          <w:p w14:paraId="3903676D" w14:textId="77777777" w:rsidR="00564766" w:rsidRPr="00FA78EE" w:rsidRDefault="00564766" w:rsidP="00EB5728">
            <w:pPr>
              <w:jc w:val="center"/>
              <w:rPr>
                <w:bCs/>
                <w:sz w:val="22"/>
                <w:szCs w:val="22"/>
              </w:rPr>
            </w:pPr>
            <w:r w:rsidRPr="00FA78EE">
              <w:rPr>
                <w:bCs/>
                <w:sz w:val="22"/>
                <w:szCs w:val="22"/>
              </w:rPr>
              <w:t>5,310</w:t>
            </w:r>
          </w:p>
        </w:tc>
        <w:tc>
          <w:tcPr>
            <w:tcW w:w="1276" w:type="dxa"/>
            <w:vAlign w:val="center"/>
          </w:tcPr>
          <w:p w14:paraId="52A39FAE" w14:textId="77777777" w:rsidR="00564766" w:rsidRPr="00FA78EE" w:rsidRDefault="00564766" w:rsidP="00EB5728">
            <w:pPr>
              <w:jc w:val="center"/>
              <w:rPr>
                <w:bCs/>
                <w:sz w:val="22"/>
                <w:szCs w:val="22"/>
              </w:rPr>
            </w:pPr>
            <w:r w:rsidRPr="00FA78EE">
              <w:rPr>
                <w:bCs/>
                <w:sz w:val="22"/>
                <w:szCs w:val="22"/>
              </w:rPr>
              <w:t>13,034</w:t>
            </w:r>
          </w:p>
        </w:tc>
        <w:tc>
          <w:tcPr>
            <w:tcW w:w="1276" w:type="dxa"/>
            <w:vAlign w:val="center"/>
          </w:tcPr>
          <w:p w14:paraId="6A31C34E" w14:textId="77777777" w:rsidR="00564766" w:rsidRPr="00FA78EE" w:rsidRDefault="00564766" w:rsidP="00EB5728">
            <w:pPr>
              <w:jc w:val="center"/>
              <w:rPr>
                <w:bCs/>
                <w:sz w:val="22"/>
                <w:szCs w:val="22"/>
              </w:rPr>
            </w:pPr>
            <w:r w:rsidRPr="00FA78EE">
              <w:rPr>
                <w:bCs/>
                <w:sz w:val="22"/>
                <w:szCs w:val="22"/>
              </w:rPr>
              <w:t>16,206</w:t>
            </w:r>
          </w:p>
        </w:tc>
        <w:tc>
          <w:tcPr>
            <w:tcW w:w="1209" w:type="dxa"/>
            <w:vAlign w:val="center"/>
          </w:tcPr>
          <w:p w14:paraId="121E7329" w14:textId="77777777" w:rsidR="00564766" w:rsidRPr="00FA78EE" w:rsidRDefault="00564766" w:rsidP="00EB5728">
            <w:pPr>
              <w:jc w:val="center"/>
              <w:rPr>
                <w:bCs/>
                <w:sz w:val="22"/>
                <w:szCs w:val="22"/>
              </w:rPr>
            </w:pPr>
            <w:r w:rsidRPr="00FA78EE">
              <w:rPr>
                <w:bCs/>
                <w:sz w:val="22"/>
                <w:szCs w:val="22"/>
              </w:rPr>
              <w:t>8,909</w:t>
            </w:r>
          </w:p>
        </w:tc>
        <w:tc>
          <w:tcPr>
            <w:tcW w:w="916" w:type="dxa"/>
            <w:vAlign w:val="center"/>
          </w:tcPr>
          <w:p w14:paraId="3534ADFB" w14:textId="77777777" w:rsidR="00564766" w:rsidRPr="00FA78EE" w:rsidRDefault="00564766" w:rsidP="00EB5728">
            <w:pPr>
              <w:jc w:val="center"/>
              <w:rPr>
                <w:bCs/>
                <w:sz w:val="22"/>
                <w:szCs w:val="22"/>
              </w:rPr>
            </w:pPr>
            <w:r w:rsidRPr="00FA78EE">
              <w:rPr>
                <w:bCs/>
                <w:sz w:val="22"/>
                <w:szCs w:val="22"/>
              </w:rPr>
              <w:t>43,459</w:t>
            </w:r>
          </w:p>
        </w:tc>
      </w:tr>
      <w:tr w:rsidR="00564766" w:rsidRPr="00FA78EE" w14:paraId="426531BF" w14:textId="77777777" w:rsidTr="00E52D07">
        <w:tc>
          <w:tcPr>
            <w:tcW w:w="3397" w:type="dxa"/>
            <w:vAlign w:val="center"/>
          </w:tcPr>
          <w:p w14:paraId="38527A25" w14:textId="77777777" w:rsidR="00564766" w:rsidRPr="00FA78EE" w:rsidRDefault="00564766" w:rsidP="00EB5728">
            <w:pPr>
              <w:jc w:val="center"/>
              <w:rPr>
                <w:bCs/>
                <w:sz w:val="22"/>
                <w:szCs w:val="22"/>
              </w:rPr>
            </w:pPr>
            <w:r w:rsidRPr="00FA78EE">
              <w:rPr>
                <w:bCs/>
                <w:sz w:val="22"/>
                <w:szCs w:val="22"/>
              </w:rPr>
              <w:t>Teachers participating in project</w:t>
            </w:r>
          </w:p>
        </w:tc>
        <w:tc>
          <w:tcPr>
            <w:tcW w:w="1276" w:type="dxa"/>
            <w:vAlign w:val="center"/>
          </w:tcPr>
          <w:p w14:paraId="4F24A7FF" w14:textId="77777777" w:rsidR="00564766" w:rsidRPr="00FA78EE" w:rsidRDefault="00564766" w:rsidP="00EB5728">
            <w:pPr>
              <w:jc w:val="center"/>
              <w:rPr>
                <w:bCs/>
                <w:sz w:val="22"/>
                <w:szCs w:val="22"/>
              </w:rPr>
            </w:pPr>
            <w:r w:rsidRPr="00FA78EE">
              <w:rPr>
                <w:bCs/>
                <w:sz w:val="22"/>
                <w:szCs w:val="22"/>
              </w:rPr>
              <w:t>26</w:t>
            </w:r>
          </w:p>
        </w:tc>
        <w:tc>
          <w:tcPr>
            <w:tcW w:w="1276" w:type="dxa"/>
            <w:vAlign w:val="center"/>
          </w:tcPr>
          <w:p w14:paraId="4C4DB136" w14:textId="77777777" w:rsidR="00564766" w:rsidRPr="00FA78EE" w:rsidRDefault="00564766" w:rsidP="00EB5728">
            <w:pPr>
              <w:jc w:val="center"/>
              <w:rPr>
                <w:bCs/>
                <w:sz w:val="22"/>
                <w:szCs w:val="22"/>
              </w:rPr>
            </w:pPr>
            <w:r w:rsidRPr="00FA78EE">
              <w:rPr>
                <w:bCs/>
                <w:sz w:val="22"/>
                <w:szCs w:val="22"/>
              </w:rPr>
              <w:t>75</w:t>
            </w:r>
          </w:p>
        </w:tc>
        <w:tc>
          <w:tcPr>
            <w:tcW w:w="1276" w:type="dxa"/>
            <w:vAlign w:val="center"/>
          </w:tcPr>
          <w:p w14:paraId="5B943AB5" w14:textId="77777777" w:rsidR="00564766" w:rsidRPr="00FA78EE" w:rsidRDefault="00564766" w:rsidP="00EB5728">
            <w:pPr>
              <w:jc w:val="center"/>
              <w:rPr>
                <w:bCs/>
                <w:sz w:val="22"/>
                <w:szCs w:val="22"/>
              </w:rPr>
            </w:pPr>
            <w:r w:rsidRPr="00FA78EE">
              <w:rPr>
                <w:bCs/>
                <w:sz w:val="22"/>
                <w:szCs w:val="22"/>
              </w:rPr>
              <w:t>91</w:t>
            </w:r>
          </w:p>
        </w:tc>
        <w:tc>
          <w:tcPr>
            <w:tcW w:w="1209" w:type="dxa"/>
            <w:vAlign w:val="center"/>
          </w:tcPr>
          <w:p w14:paraId="609D26A4" w14:textId="77777777" w:rsidR="00564766" w:rsidRPr="00FA78EE" w:rsidRDefault="00564766" w:rsidP="00EB5728">
            <w:pPr>
              <w:jc w:val="center"/>
              <w:rPr>
                <w:bCs/>
                <w:sz w:val="22"/>
                <w:szCs w:val="22"/>
              </w:rPr>
            </w:pPr>
            <w:r w:rsidRPr="00FA78EE">
              <w:rPr>
                <w:bCs/>
                <w:sz w:val="22"/>
                <w:szCs w:val="22"/>
              </w:rPr>
              <w:t>53</w:t>
            </w:r>
          </w:p>
        </w:tc>
        <w:tc>
          <w:tcPr>
            <w:tcW w:w="916" w:type="dxa"/>
            <w:vAlign w:val="center"/>
          </w:tcPr>
          <w:p w14:paraId="07E04935" w14:textId="77777777" w:rsidR="00564766" w:rsidRPr="00FA78EE" w:rsidRDefault="00564766" w:rsidP="00EB5728">
            <w:pPr>
              <w:jc w:val="center"/>
              <w:rPr>
                <w:bCs/>
                <w:sz w:val="22"/>
                <w:szCs w:val="22"/>
              </w:rPr>
            </w:pPr>
            <w:r w:rsidRPr="00FA78EE">
              <w:rPr>
                <w:bCs/>
                <w:sz w:val="22"/>
                <w:szCs w:val="22"/>
              </w:rPr>
              <w:t>133</w:t>
            </w:r>
          </w:p>
        </w:tc>
      </w:tr>
    </w:tbl>
    <w:p w14:paraId="3F324EC5" w14:textId="77777777" w:rsidR="00564766" w:rsidRDefault="00564766" w:rsidP="00EB5728">
      <w:pPr>
        <w:pStyle w:val="standard"/>
        <w:spacing w:line="240" w:lineRule="auto"/>
        <w:ind w:firstLine="0"/>
        <w:rPr>
          <w:szCs w:val="24"/>
        </w:rPr>
      </w:pPr>
      <w:r w:rsidRPr="0032600A">
        <w:rPr>
          <w:i/>
          <w:iCs/>
          <w:szCs w:val="24"/>
        </w:rPr>
        <w:t xml:space="preserve">Notes. </w:t>
      </w:r>
      <w:r w:rsidRPr="0032600A">
        <w:rPr>
          <w:szCs w:val="24"/>
        </w:rPr>
        <w:t>The baseline posttests were administrated in the spring semester. For example, 34 teachers provided baseline data for the school year of 2015–</w:t>
      </w:r>
      <w:r>
        <w:rPr>
          <w:szCs w:val="24"/>
        </w:rPr>
        <w:t>20</w:t>
      </w:r>
      <w:r w:rsidRPr="0032600A">
        <w:rPr>
          <w:szCs w:val="24"/>
        </w:rPr>
        <w:t>16 means that these teachers administrated baseline tests in the spring of 2016.</w:t>
      </w:r>
    </w:p>
    <w:p w14:paraId="0804A201" w14:textId="77777777" w:rsidR="00564766" w:rsidRDefault="00564766" w:rsidP="00564766">
      <w:pPr>
        <w:pStyle w:val="standard"/>
        <w:spacing w:line="276" w:lineRule="auto"/>
        <w:ind w:firstLine="0"/>
        <w:rPr>
          <w:szCs w:val="24"/>
        </w:rPr>
      </w:pPr>
    </w:p>
    <w:p w14:paraId="7EB6008E" w14:textId="77777777" w:rsidR="00167C15" w:rsidRPr="004D3104" w:rsidRDefault="00167C15" w:rsidP="00167C15">
      <w:pPr>
        <w:pStyle w:val="Heading3"/>
      </w:pPr>
      <w:bookmarkStart w:id="27" w:name="_Toc71207812"/>
      <w:r w:rsidRPr="004D3104">
        <w:t>Selection of Posttest Data</w:t>
      </w:r>
      <w:bookmarkEnd w:id="26"/>
      <w:bookmarkEnd w:id="27"/>
    </w:p>
    <w:p w14:paraId="27404FBC" w14:textId="4A64ECC7" w:rsidR="00167C15" w:rsidRDefault="00167C15" w:rsidP="00503271">
      <w:pPr>
        <w:pStyle w:val="standard"/>
        <w:rPr>
          <w:lang w:eastAsia="zh-CN"/>
        </w:rPr>
      </w:pPr>
      <w:r w:rsidRPr="007644E7">
        <w:t>We used different posttests to answer different research questions. When comparing with baseline tests from students who studied other curricula, we used</w:t>
      </w:r>
      <w:r w:rsidR="0021547B">
        <w:t xml:space="preserve"> the</w:t>
      </w:r>
      <w:r w:rsidRPr="007644E7">
        <w:t xml:space="preserve"> overall posttests to ensure a fair comparison</w:t>
      </w:r>
      <w:r w:rsidR="005537A5">
        <w:t xml:space="preserve"> between</w:t>
      </w:r>
      <w:r w:rsidR="00F67AD3">
        <w:t xml:space="preserve"> </w:t>
      </w:r>
      <w:r w:rsidR="005537A5" w:rsidRPr="005537A5">
        <w:rPr>
          <w:i/>
          <w:iCs/>
        </w:rPr>
        <w:t>Carbon TIME</w:t>
      </w:r>
      <w:r w:rsidR="00F67AD3">
        <w:t xml:space="preserve"> </w:t>
      </w:r>
      <w:r w:rsidR="005537A5">
        <w:t>and other curricular, even given any limitation</w:t>
      </w:r>
      <w:r w:rsidR="00C726FA">
        <w:t>s of the test</w:t>
      </w:r>
      <w:r w:rsidRPr="007644E7">
        <w:t xml:space="preserve">. That is, we </w:t>
      </w:r>
      <w:r w:rsidR="004D0CB5">
        <w:t xml:space="preserve">restricted our sample to </w:t>
      </w:r>
      <w:r w:rsidRPr="007644E7">
        <w:t>compare the test results administered to different groups of students based on the same test</w:t>
      </w:r>
      <w:r w:rsidR="006C181C">
        <w:t>s,</w:t>
      </w:r>
      <w:r>
        <w:t xml:space="preserve"> taught by the same teachers</w:t>
      </w:r>
      <w:r w:rsidR="00F856FE">
        <w:t xml:space="preserve"> in the same schools</w:t>
      </w:r>
      <w:r w:rsidR="00456A92">
        <w:t>;</w:t>
      </w:r>
      <w:r>
        <w:t xml:space="preserve"> one group of students studied </w:t>
      </w:r>
      <w:r w:rsidR="00FC4075">
        <w:rPr>
          <w:i/>
        </w:rPr>
        <w:t>Carbon TIME</w:t>
      </w:r>
      <w:r w:rsidR="00FC4075">
        <w:t xml:space="preserve"> </w:t>
      </w:r>
      <w:r>
        <w:t>while the other group of students studied other curricula</w:t>
      </w:r>
      <w:r w:rsidRPr="007644E7">
        <w:t xml:space="preserve">. </w:t>
      </w:r>
    </w:p>
    <w:p w14:paraId="693F946B" w14:textId="3FD0173F" w:rsidR="00167C15" w:rsidRPr="00385422" w:rsidRDefault="00167C15" w:rsidP="00036298">
      <w:pPr>
        <w:pStyle w:val="standard"/>
      </w:pPr>
      <w:r w:rsidRPr="007644E7">
        <w:rPr>
          <w:color w:val="000000" w:themeColor="text1"/>
        </w:rPr>
        <w:t>However, when comparing the pretest and posttest</w:t>
      </w:r>
      <w:r w:rsidR="006C181C">
        <w:rPr>
          <w:color w:val="000000" w:themeColor="text1"/>
        </w:rPr>
        <w:t xml:space="preserve"> proficiencies</w:t>
      </w:r>
      <w:r w:rsidRPr="007644E7">
        <w:rPr>
          <w:color w:val="000000" w:themeColor="text1"/>
        </w:rPr>
        <w:t xml:space="preserve"> for the same students in </w:t>
      </w:r>
      <w:r>
        <w:rPr>
          <w:color w:val="000000" w:themeColor="text1"/>
        </w:rPr>
        <w:t>our</w:t>
      </w:r>
      <w:r w:rsidRPr="007644E7">
        <w:rPr>
          <w:color w:val="000000" w:themeColor="text1"/>
        </w:rPr>
        <w:t xml:space="preserve"> main analyses, </w:t>
      </w:r>
      <w:r w:rsidRPr="0032600A">
        <w:t>we used average unit posttests, rather than overall full posttests, as the</w:t>
      </w:r>
      <w:r w:rsidR="000C16DC">
        <w:t xml:space="preserve"> post-instruction</w:t>
      </w:r>
      <w:r w:rsidRPr="0032600A">
        <w:t xml:space="preserve"> measures. This is because the overall posttests turned out to have several limitations. </w:t>
      </w:r>
      <w:r w:rsidR="00777EBE">
        <w:t xml:space="preserve">Some teachers </w:t>
      </w:r>
      <w:r w:rsidR="002B6221">
        <w:t>administered t</w:t>
      </w:r>
      <w:r w:rsidRPr="0032600A">
        <w:t>he overall posttests</w:t>
      </w:r>
      <w:r w:rsidR="002B6221">
        <w:t xml:space="preserve"> late in the school year </w:t>
      </w:r>
      <w:r w:rsidR="0058029A">
        <w:t>and under time constraints, so these tests</w:t>
      </w:r>
      <w:r w:rsidRPr="0032600A">
        <w:t xml:space="preserve"> showed higher rates of incompleteness and off-topic answers as well as higher proportion of students finishing the tests in unreasonably short times, indicating rapid-guessing behaviors (Wise, 2017).</w:t>
      </w:r>
      <w:r w:rsidR="00DD36AD">
        <w:t xml:space="preserve">  The overall posttests also included items based on units </w:t>
      </w:r>
      <w:r w:rsidR="00940B66">
        <w:t>were not taught in many classrooms</w:t>
      </w:r>
      <w:r w:rsidR="00DD36AD">
        <w:t>.</w:t>
      </w:r>
      <w:r w:rsidRPr="0032600A">
        <w:t xml:space="preserve"> Thus, we thought unit posttests served as better measures for students’ learning outcomes as they reflected students’ best efforts on units that they had studied.</w:t>
      </w:r>
    </w:p>
    <w:p w14:paraId="67F7EEEE" w14:textId="77777777" w:rsidR="007A62CF" w:rsidRPr="004D3104" w:rsidRDefault="007A62CF" w:rsidP="004D3104">
      <w:pPr>
        <w:pStyle w:val="Heading2"/>
      </w:pPr>
      <w:bookmarkStart w:id="28" w:name="_Toc67662790"/>
      <w:bookmarkStart w:id="29" w:name="_Toc71207813"/>
      <w:r w:rsidRPr="004D3104">
        <w:lastRenderedPageBreak/>
        <w:t>Data Analysis</w:t>
      </w:r>
      <w:bookmarkEnd w:id="28"/>
      <w:bookmarkEnd w:id="29"/>
    </w:p>
    <w:p w14:paraId="2D95FFB2" w14:textId="1CDC5879" w:rsidR="007A62CF" w:rsidRDefault="007A62CF" w:rsidP="00503271">
      <w:pPr>
        <w:pStyle w:val="standard"/>
      </w:pPr>
      <w:r w:rsidRPr="0032600A">
        <w:t xml:space="preserve">Here we will first describe how we used both analytical samples (Table 1) to answer </w:t>
      </w:r>
      <w:r w:rsidR="00637929">
        <w:t>R</w:t>
      </w:r>
      <w:r w:rsidR="00637929" w:rsidRPr="0032600A">
        <w:t xml:space="preserve">esearch </w:t>
      </w:r>
      <w:r w:rsidR="00637929">
        <w:t>Q</w:t>
      </w:r>
      <w:r w:rsidRPr="0032600A">
        <w:t xml:space="preserve">uestion 1a. Then we will describe analyses using analytical sample 2 (Table 1) for all </w:t>
      </w:r>
      <w:r w:rsidR="00410C11">
        <w:t xml:space="preserve">other </w:t>
      </w:r>
      <w:r w:rsidRPr="0032600A">
        <w:t xml:space="preserve">research questions. </w:t>
      </w:r>
    </w:p>
    <w:p w14:paraId="26CD6DB1" w14:textId="4C3AED0D" w:rsidR="00BE1372" w:rsidRPr="0032600A" w:rsidRDefault="001D2F48" w:rsidP="001A787B">
      <w:pPr>
        <w:pStyle w:val="Heading3"/>
      </w:pPr>
      <w:bookmarkStart w:id="30" w:name="_Toc67662791"/>
      <w:bookmarkStart w:id="31" w:name="_Toc71207814"/>
      <w:r>
        <w:t xml:space="preserve">Research Question 1a: </w:t>
      </w:r>
      <w:r w:rsidR="003B7486">
        <w:t xml:space="preserve">Effects of </w:t>
      </w:r>
      <w:r w:rsidR="003B7486">
        <w:t>Carbon TIME</w:t>
      </w:r>
      <w:r w:rsidR="003B7486">
        <w:t xml:space="preserve"> Units</w:t>
      </w:r>
      <w:bookmarkEnd w:id="30"/>
      <w:bookmarkEnd w:id="31"/>
    </w:p>
    <w:p w14:paraId="6E7F2455" w14:textId="5F1B08E2" w:rsidR="007A62CF" w:rsidRPr="0032600A" w:rsidRDefault="007A62CF" w:rsidP="001A787B">
      <w:pPr>
        <w:pStyle w:val="standard"/>
      </w:pPr>
      <w:r w:rsidRPr="0032600A">
        <w:t xml:space="preserve">We applied two approaches to </w:t>
      </w:r>
      <w:r w:rsidR="00637929">
        <w:t>analyze</w:t>
      </w:r>
      <w:r w:rsidRPr="0032600A">
        <w:t xml:space="preserve"> the effect</w:t>
      </w:r>
      <w:r>
        <w:t>s</w:t>
      </w:r>
      <w:r w:rsidRPr="0032600A">
        <w:t xml:space="preserve"> of the curricul</w:t>
      </w:r>
      <w:r>
        <w:t>ar resources</w:t>
      </w:r>
      <w:r w:rsidRPr="0032600A">
        <w:t xml:space="preserve"> (</w:t>
      </w:r>
      <w:r w:rsidR="00637929">
        <w:t>R</w:t>
      </w:r>
      <w:r w:rsidRPr="0032600A">
        <w:t xml:space="preserve">esearch </w:t>
      </w:r>
      <w:r w:rsidR="00637929">
        <w:t>Q</w:t>
      </w:r>
      <w:r w:rsidRPr="0032600A">
        <w:t>uestion 1a). First, we compared posttests from two groups of students taught by the same teacher in different years (analytical sample 1 in Tab</w:t>
      </w:r>
      <w:r w:rsidRPr="00E7511B">
        <w:rPr>
          <w:color w:val="000000" w:themeColor="text1"/>
        </w:rPr>
        <w:t xml:space="preserve">le 1). As described </w:t>
      </w:r>
      <w:r w:rsidR="00F930D5">
        <w:rPr>
          <w:color w:val="000000" w:themeColor="text1"/>
        </w:rPr>
        <w:t>above</w:t>
      </w:r>
      <w:r w:rsidR="00F930D5" w:rsidRPr="00E7511B">
        <w:rPr>
          <w:color w:val="000000" w:themeColor="text1"/>
        </w:rPr>
        <w:t xml:space="preserve"> </w:t>
      </w:r>
      <w:r w:rsidRPr="00E7511B">
        <w:rPr>
          <w:color w:val="000000" w:themeColor="text1"/>
        </w:rPr>
        <w:t>(see Figure 2), teachers in Cohort</w:t>
      </w:r>
      <w:r w:rsidR="00637929">
        <w:rPr>
          <w:color w:val="000000" w:themeColor="text1"/>
        </w:rPr>
        <w:t>s</w:t>
      </w:r>
      <w:r w:rsidRPr="00E7511B">
        <w:rPr>
          <w:color w:val="000000" w:themeColor="text1"/>
        </w:rPr>
        <w:t xml:space="preserve"> 2 and 3</w:t>
      </w:r>
      <w:r>
        <w:rPr>
          <w:color w:val="000000" w:themeColor="text1"/>
        </w:rPr>
        <w:t xml:space="preserve">, </w:t>
      </w:r>
      <w:r w:rsidRPr="00E7511B">
        <w:rPr>
          <w:color w:val="000000" w:themeColor="text1"/>
        </w:rPr>
        <w:t xml:space="preserve">who </w:t>
      </w:r>
      <w:r w:rsidR="00404B97">
        <w:rPr>
          <w:color w:val="000000" w:themeColor="text1"/>
        </w:rPr>
        <w:t>started teaching</w:t>
      </w:r>
      <w:r w:rsidR="00F67AD3">
        <w:rPr>
          <w:color w:val="000000" w:themeColor="text1"/>
        </w:rPr>
        <w:t xml:space="preserve"> </w:t>
      </w:r>
      <w:r w:rsidR="00404B97">
        <w:rPr>
          <w:i/>
          <w:color w:val="000000" w:themeColor="text1"/>
        </w:rPr>
        <w:t>Carbon TIME</w:t>
      </w:r>
      <w:r w:rsidR="00404B97">
        <w:rPr>
          <w:i/>
          <w:color w:val="000000" w:themeColor="text1"/>
        </w:rPr>
        <w:t xml:space="preserve"> </w:t>
      </w:r>
      <w:r w:rsidR="00404B97">
        <w:rPr>
          <w:color w:val="000000" w:themeColor="text1"/>
        </w:rPr>
        <w:t>units</w:t>
      </w:r>
      <w:r w:rsidR="00F930D5">
        <w:rPr>
          <w:color w:val="000000" w:themeColor="text1"/>
        </w:rPr>
        <w:t xml:space="preserve"> in</w:t>
      </w:r>
      <w:r w:rsidRPr="00E7511B">
        <w:rPr>
          <w:color w:val="000000" w:themeColor="text1"/>
        </w:rPr>
        <w:t xml:space="preserve"> the fall of 2016 or 2017</w:t>
      </w:r>
      <w:r>
        <w:rPr>
          <w:color w:val="000000" w:themeColor="text1"/>
        </w:rPr>
        <w:t>,</w:t>
      </w:r>
      <w:r w:rsidRPr="00E7511B">
        <w:rPr>
          <w:color w:val="000000" w:themeColor="text1"/>
        </w:rPr>
        <w:t xml:space="preserve"> administered the overall posttest</w:t>
      </w:r>
      <w:r w:rsidR="00B55CFA">
        <w:rPr>
          <w:color w:val="000000" w:themeColor="text1"/>
        </w:rPr>
        <w:t xml:space="preserve"> (</w:t>
      </w:r>
      <w:r w:rsidR="00C6696E">
        <w:rPr>
          <w:color w:val="000000" w:themeColor="text1"/>
        </w:rPr>
        <w:t>which we labeled</w:t>
      </w:r>
      <w:r w:rsidR="00B55CFA">
        <w:rPr>
          <w:color w:val="000000" w:themeColor="text1"/>
        </w:rPr>
        <w:t xml:space="preserve"> the baseline test</w:t>
      </w:r>
      <w:r w:rsidR="00406EC7">
        <w:rPr>
          <w:color w:val="000000" w:themeColor="text1"/>
        </w:rPr>
        <w:t xml:space="preserve"> in Figure 2</w:t>
      </w:r>
      <w:r w:rsidR="00B55CFA">
        <w:rPr>
          <w:color w:val="000000" w:themeColor="text1"/>
        </w:rPr>
        <w:t>)</w:t>
      </w:r>
      <w:r w:rsidRPr="00E7511B">
        <w:rPr>
          <w:color w:val="000000" w:themeColor="text1"/>
        </w:rPr>
        <w:t xml:space="preserve"> to their students who had studied other curricula while taking the same courses during the spring before they started using</w:t>
      </w:r>
      <w:r w:rsidR="00F67AD3">
        <w:rPr>
          <w:color w:val="000000" w:themeColor="text1"/>
        </w:rPr>
        <w:t xml:space="preserve"> </w:t>
      </w:r>
      <w:r w:rsidRPr="00E7511B">
        <w:rPr>
          <w:i/>
          <w:color w:val="000000" w:themeColor="text1"/>
        </w:rPr>
        <w:t>Carbon TIME</w:t>
      </w:r>
      <w:r w:rsidR="00F67AD3">
        <w:rPr>
          <w:color w:val="000000" w:themeColor="text1"/>
        </w:rPr>
        <w:t xml:space="preserve"> </w:t>
      </w:r>
      <w:r w:rsidR="00316413">
        <w:rPr>
          <w:color w:val="000000" w:themeColor="text1"/>
        </w:rPr>
        <w:t>units</w:t>
      </w:r>
      <w:r w:rsidRPr="0032600A">
        <w:t xml:space="preserve">. </w:t>
      </w:r>
      <w:r w:rsidR="00B01738">
        <w:t xml:space="preserve">We used </w:t>
      </w:r>
      <w:r w:rsidR="0049216D">
        <w:t xml:space="preserve">an independent-sample </w:t>
      </w:r>
      <w:r w:rsidR="00F67AD3">
        <w:t>t</w:t>
      </w:r>
      <w:r w:rsidR="0049216D">
        <w:t xml:space="preserve"> test to compare </w:t>
      </w:r>
      <w:r w:rsidR="00C24C97">
        <w:t xml:space="preserve">baseline posttest proficiencies </w:t>
      </w:r>
      <w:r w:rsidR="00560B8A">
        <w:t xml:space="preserve">of </w:t>
      </w:r>
      <w:r w:rsidR="00B030AE">
        <w:t>students in the previous spring with the overall posttest proficiencies of</w:t>
      </w:r>
      <w:r w:rsidRPr="0032600A">
        <w:t xml:space="preserve"> students in </w:t>
      </w:r>
      <w:r w:rsidR="00892BD3">
        <w:t>Teacher</w:t>
      </w:r>
      <w:r w:rsidRPr="0032600A">
        <w:rPr>
          <w:i/>
        </w:rPr>
        <w:t xml:space="preserve"> </w:t>
      </w:r>
      <w:r w:rsidR="00D5443E">
        <w:t>Year 1</w:t>
      </w:r>
      <w:r w:rsidRPr="0032600A">
        <w:rPr>
          <w:i/>
        </w:rPr>
        <w:t>.</w:t>
      </w:r>
      <w:r w:rsidRPr="0032600A">
        <w:t xml:space="preserve"> </w:t>
      </w:r>
      <w:r w:rsidR="00892BD3" w:rsidRPr="00E904FB">
        <w:rPr>
          <w:iCs/>
        </w:rPr>
        <w:t>Teacher</w:t>
      </w:r>
      <w:r w:rsidRPr="0032600A">
        <w:t xml:space="preserve"> </w:t>
      </w:r>
      <w:r w:rsidR="00B92AD4">
        <w:t xml:space="preserve">Year 1 </w:t>
      </w:r>
      <w:r w:rsidRPr="0032600A">
        <w:t>in our analyses included 3,</w:t>
      </w:r>
      <w:r>
        <w:t>195</w:t>
      </w:r>
      <w:r w:rsidRPr="0032600A">
        <w:t xml:space="preserve"> students from 5</w:t>
      </w:r>
      <w:r>
        <w:t>6</w:t>
      </w:r>
      <w:r w:rsidRPr="0032600A">
        <w:t xml:space="preserve"> teachers, and the </w:t>
      </w:r>
      <w:r w:rsidR="009420CB">
        <w:t>traditional curricula</w:t>
      </w:r>
      <w:r w:rsidR="009420CB">
        <w:t xml:space="preserve"> </w:t>
      </w:r>
      <w:r w:rsidRPr="0032600A">
        <w:t>group included another 3,</w:t>
      </w:r>
      <w:r>
        <w:t>252</w:t>
      </w:r>
      <w:r w:rsidRPr="0032600A">
        <w:t xml:space="preserve"> students from the same 5</w:t>
      </w:r>
      <w:r>
        <w:t>6</w:t>
      </w:r>
      <w:r w:rsidRPr="0032600A">
        <w:t xml:space="preserve"> teachers. </w:t>
      </w:r>
    </w:p>
    <w:p w14:paraId="2D59ED12" w14:textId="476B531B" w:rsidR="004D3104" w:rsidRDefault="007A62CF" w:rsidP="001A787B">
      <w:pPr>
        <w:pStyle w:val="standard"/>
      </w:pPr>
      <w:r w:rsidRPr="0032600A">
        <w:t xml:space="preserve">Second, we compared pretests and posttests from the same students taught by the same teachers </w:t>
      </w:r>
      <w:r w:rsidR="00514DEB">
        <w:t>using</w:t>
      </w:r>
      <w:r w:rsidR="009420CB">
        <w:t xml:space="preserve"> </w:t>
      </w:r>
      <w:r w:rsidRPr="0032600A">
        <w:rPr>
          <w:i/>
        </w:rPr>
        <w:t>Carbon TIME</w:t>
      </w:r>
      <w:r w:rsidR="009420CB" w:rsidRPr="00300371">
        <w:rPr>
          <w:i/>
        </w:rPr>
        <w:t xml:space="preserve"> </w:t>
      </w:r>
      <w:r w:rsidR="003A3BB7">
        <w:t>units</w:t>
      </w:r>
      <w:r w:rsidRPr="0032600A">
        <w:t>. That is, we measured students’ proficiency before and after their classes studied</w:t>
      </w:r>
      <w:r w:rsidR="009420CB">
        <w:t xml:space="preserve"> </w:t>
      </w:r>
      <w:r w:rsidRPr="0032600A">
        <w:rPr>
          <w:i/>
        </w:rPr>
        <w:t>Carbon TIME</w:t>
      </w:r>
      <w:r w:rsidR="009420CB">
        <w:t xml:space="preserve"> </w:t>
      </w:r>
      <w:r w:rsidRPr="0032600A">
        <w:t>units. Thus the “matching” process for this analytical sample 2 (Table 1) occurred at the student level, which allowed us to compare pretests and posttests for 16,195 students taught by 133 teachers across the 4-year period (245 teacher-years). Accordingly, a paired t-test was conducted for analytical sample 2 in the second approach.</w:t>
      </w:r>
    </w:p>
    <w:p w14:paraId="3C94D5C7" w14:textId="06D97204" w:rsidR="007A62CF" w:rsidRPr="004D3104" w:rsidRDefault="003B7486" w:rsidP="00B100A0">
      <w:pPr>
        <w:pStyle w:val="Heading3"/>
        <w:rPr>
          <w:szCs w:val="24"/>
        </w:rPr>
      </w:pPr>
      <w:bookmarkStart w:id="32" w:name="_Toc67662792"/>
      <w:bookmarkStart w:id="33" w:name="_Toc71207815"/>
      <w:r>
        <w:lastRenderedPageBreak/>
        <w:t xml:space="preserve">Other Research Questions: </w:t>
      </w:r>
      <w:r w:rsidR="007A62CF">
        <w:t>Hierarchical</w:t>
      </w:r>
      <w:r w:rsidR="007A62CF" w:rsidRPr="00F95E7A">
        <w:t xml:space="preserve"> Linear Models</w:t>
      </w:r>
      <w:bookmarkEnd w:id="32"/>
      <w:bookmarkEnd w:id="33"/>
    </w:p>
    <w:p w14:paraId="65BADEF5" w14:textId="767C75C5" w:rsidR="001255D7" w:rsidRDefault="004661FF" w:rsidP="00D12A4B">
      <w:pPr>
        <w:pStyle w:val="standard"/>
      </w:pPr>
      <w:r>
        <w:t>We used</w:t>
      </w:r>
      <w:r w:rsidR="007A62CF" w:rsidRPr="009A72CB">
        <w:t xml:space="preserve"> hierarchical linear models (listed in Table 2) with analytical sample 2 in Table 1 to </w:t>
      </w:r>
      <w:r w:rsidR="001951C6">
        <w:t xml:space="preserve">answer </w:t>
      </w:r>
      <w:r w:rsidR="007A62CF" w:rsidRPr="009A72CB">
        <w:t xml:space="preserve">the other research questions. Because students </w:t>
      </w:r>
      <w:r w:rsidR="0067164B" w:rsidRPr="00F358D7">
        <w:rPr>
          <w:i/>
        </w:rPr>
        <w:t>within</w:t>
      </w:r>
      <w:r w:rsidR="0067164B">
        <w:t xml:space="preserve"> the same class </w:t>
      </w:r>
      <w:r w:rsidR="007A62CF" w:rsidRPr="009A72CB">
        <w:t xml:space="preserve">are not independent from each other, applying </w:t>
      </w:r>
      <w:r w:rsidR="007A62CF">
        <w:t>hierarchical linear</w:t>
      </w:r>
      <w:r w:rsidR="007A62CF" w:rsidRPr="009A72CB">
        <w:t xml:space="preserve"> models accommodates the nested nature of the data of students within classrooms, and allowed us to model simultaneously effects at multiple levels (see </w:t>
      </w:r>
      <w:proofErr w:type="spellStart"/>
      <w:r w:rsidR="007A62CF" w:rsidRPr="009A72CB">
        <w:t>Raudenbush</w:t>
      </w:r>
      <w:proofErr w:type="spellEnd"/>
      <w:r w:rsidR="007A62CF" w:rsidRPr="009A72CB">
        <w:t xml:space="preserve"> </w:t>
      </w:r>
      <w:r w:rsidR="002F5E13">
        <w:t>&amp;</w:t>
      </w:r>
      <w:r w:rsidR="007A62CF" w:rsidRPr="009A72CB">
        <w:t xml:space="preserve"> Bryk, 2002). Analyses done only at a single level (e.g., the student level) do not recognize dependencies (e.g., among students within the same classroom) and</w:t>
      </w:r>
      <w:r w:rsidR="009737B5">
        <w:t>,</w:t>
      </w:r>
      <w:r w:rsidR="007A62CF" w:rsidRPr="009A72CB">
        <w:t xml:space="preserve"> therefore</w:t>
      </w:r>
      <w:r w:rsidR="009737B5">
        <w:t>,</w:t>
      </w:r>
      <w:r w:rsidR="007A62CF" w:rsidRPr="009A72CB">
        <w:t xml:space="preserve"> compromise standard errors and corresponding significance tests (</w:t>
      </w:r>
      <w:proofErr w:type="spellStart"/>
      <w:r w:rsidR="007A62CF" w:rsidRPr="009A72CB">
        <w:t>Raudenbush</w:t>
      </w:r>
      <w:proofErr w:type="spellEnd"/>
      <w:r w:rsidR="007A62CF" w:rsidRPr="009A72CB">
        <w:t xml:space="preserve"> </w:t>
      </w:r>
      <w:r w:rsidR="002F5E13">
        <w:t>&amp;</w:t>
      </w:r>
      <w:r w:rsidR="007A62CF" w:rsidRPr="009A72CB">
        <w:t xml:space="preserve"> Bryk, 2002). </w:t>
      </w:r>
      <w:r w:rsidR="009737B5">
        <w:t xml:space="preserve">Thus, we </w:t>
      </w:r>
      <w:r w:rsidR="0044569E">
        <w:t>created a two-level mode</w:t>
      </w:r>
      <w:r w:rsidR="00FA41A7">
        <w:t>l. O</w:t>
      </w:r>
      <w:r w:rsidR="0044569E">
        <w:t>ur outcome variable was students’</w:t>
      </w:r>
      <w:r w:rsidR="007A62CF" w:rsidRPr="009A72CB">
        <w:t xml:space="preserve"> learning gains (the difference between </w:t>
      </w:r>
      <w:r w:rsidR="0044569E">
        <w:t xml:space="preserve">students’ </w:t>
      </w:r>
      <w:r w:rsidR="007A62CF" w:rsidRPr="009A72CB">
        <w:t xml:space="preserve">pretest and posttest </w:t>
      </w:r>
      <w:r w:rsidR="00FE135E">
        <w:t>proficiencies</w:t>
      </w:r>
      <w:r w:rsidR="007A62CF" w:rsidRPr="009A72CB">
        <w:t>), measured as logit scores</w:t>
      </w:r>
      <w:r w:rsidR="00A103EB">
        <w:t>.</w:t>
      </w:r>
      <w:r w:rsidR="007A62CF" w:rsidRPr="009A72CB">
        <w:t xml:space="preserve"> </w:t>
      </w:r>
      <w:r w:rsidR="00B42314">
        <w:t>T</w:t>
      </w:r>
      <w:r w:rsidR="007A62CF" w:rsidRPr="009A72CB">
        <w:t>he level-1 model specifies a linear regression at the student level</w:t>
      </w:r>
      <w:r w:rsidR="00D15D51">
        <w:t>, and</w:t>
      </w:r>
      <w:r w:rsidR="007A62CF" w:rsidRPr="009A72CB">
        <w:t xml:space="preserve"> level-2 </w:t>
      </w:r>
      <w:r w:rsidR="00D15D51">
        <w:t>is</w:t>
      </w:r>
      <w:r w:rsidR="007A62CF" w:rsidRPr="009A72CB">
        <w:t xml:space="preserve"> at teacher-year level. </w:t>
      </w:r>
      <w:r w:rsidR="00F63F29">
        <w:t xml:space="preserve">Our data </w:t>
      </w:r>
      <w:r w:rsidR="005A0703">
        <w:t>could not</w:t>
      </w:r>
      <w:r w:rsidR="00E94D21">
        <w:t xml:space="preserve"> adequate</w:t>
      </w:r>
      <w:r w:rsidR="005A0703">
        <w:t>ly differentiate classrooms within teachers</w:t>
      </w:r>
      <w:r w:rsidR="00736BFD">
        <w:t xml:space="preserve">, </w:t>
      </w:r>
      <w:r w:rsidR="005A0703">
        <w:t xml:space="preserve">so </w:t>
      </w:r>
      <w:r w:rsidR="00736BFD">
        <w:t>we</w:t>
      </w:r>
      <w:r w:rsidR="00A60A68">
        <w:t xml:space="preserve"> </w:t>
      </w:r>
      <w:r w:rsidR="00736BFD">
        <w:t>use</w:t>
      </w:r>
      <w:r w:rsidR="00A60A68">
        <w:t xml:space="preserve"> </w:t>
      </w:r>
      <w:r w:rsidR="00BB414D">
        <w:t>teacher-year (see Figure 2 above)</w:t>
      </w:r>
      <w:r w:rsidR="00736BFD">
        <w:t xml:space="preserve"> for level-2</w:t>
      </w:r>
      <w:r w:rsidR="001F1033">
        <w:t>.</w:t>
      </w:r>
      <w:r w:rsidR="00B8464E">
        <w:rPr>
          <w:rStyle w:val="FootnoteReference"/>
        </w:rPr>
        <w:footnoteReference w:id="4"/>
      </w:r>
      <w:r w:rsidR="00A60A68">
        <w:t xml:space="preserve"> </w:t>
      </w:r>
      <w:r w:rsidR="008F0383">
        <w:rPr>
          <w:rFonts w:hint="eastAsia"/>
          <w:lang w:eastAsia="zh-CN"/>
        </w:rPr>
        <w:t>For</w:t>
      </w:r>
      <w:r w:rsidR="008F0383">
        <w:rPr>
          <w:lang w:eastAsia="zh-CN"/>
        </w:rPr>
        <w:t xml:space="preserve"> </w:t>
      </w:r>
      <w:r w:rsidR="008F0383">
        <w:rPr>
          <w:rFonts w:hint="eastAsia"/>
          <w:lang w:eastAsia="zh-CN"/>
        </w:rPr>
        <w:t>the</w:t>
      </w:r>
      <w:r w:rsidR="008F0383">
        <w:rPr>
          <w:lang w:eastAsia="zh-CN"/>
        </w:rPr>
        <w:t xml:space="preserve"> remainder of the manuscript, we will refer to </w:t>
      </w:r>
      <w:r w:rsidR="005227F4">
        <w:rPr>
          <w:lang w:eastAsia="zh-CN"/>
        </w:rPr>
        <w:t>teacher-year as classroom.</w:t>
      </w:r>
      <w:r w:rsidR="005227F4">
        <w:rPr>
          <w:lang w:eastAsia="zh-CN"/>
        </w:rPr>
        <w:t xml:space="preserve"> </w:t>
      </w:r>
      <w:r w:rsidR="007A62CF" w:rsidRPr="009A72CB">
        <w:rPr>
          <w:rFonts w:hint="eastAsia"/>
          <w:lang w:eastAsia="zh-CN"/>
        </w:rPr>
        <w:t>W</w:t>
      </w:r>
      <w:r w:rsidR="007A62CF" w:rsidRPr="009A72CB">
        <w:t xml:space="preserve">e did not </w:t>
      </w:r>
      <w:r w:rsidR="00D15D51">
        <w:t xml:space="preserve">include a third level, modeling </w:t>
      </w:r>
      <w:r w:rsidR="00435A89">
        <w:t>the effect of</w:t>
      </w:r>
      <w:r w:rsidR="00D12A4B">
        <w:t xml:space="preserve"> </w:t>
      </w:r>
      <w:r w:rsidR="00435A89" w:rsidRPr="0067300D">
        <w:rPr>
          <w:i/>
        </w:rPr>
        <w:t>Carbon TIME</w:t>
      </w:r>
      <w:r w:rsidR="00D12A4B">
        <w:t xml:space="preserve"> </w:t>
      </w:r>
      <w:r w:rsidR="00435A89">
        <w:t xml:space="preserve">at the school level, because </w:t>
      </w:r>
      <w:r w:rsidR="007A62CF" w:rsidRPr="009A72CB">
        <w:t xml:space="preserve">most </w:t>
      </w:r>
      <w:r w:rsidR="00097796">
        <w:t>schools contained only a small number of teachers (</w:t>
      </w:r>
      <w:r w:rsidR="00915974">
        <w:t>71</w:t>
      </w:r>
      <w:r w:rsidR="00097796">
        <w:t>% of schools had only 1 teacher).</w:t>
      </w:r>
      <w:r w:rsidR="007A62CF" w:rsidRPr="009A72CB">
        <w:t xml:space="preserve"> The models we estimated are presented in Table </w:t>
      </w:r>
      <w:r w:rsidR="00D27A30">
        <w:t>2</w:t>
      </w:r>
      <w:r w:rsidR="007A62CF" w:rsidRPr="009A72CB">
        <w:t>.</w:t>
      </w:r>
    </w:p>
    <w:p w14:paraId="72085CA5" w14:textId="4943ED0E" w:rsidR="007652D3" w:rsidRPr="00300371" w:rsidRDefault="007652D3" w:rsidP="00300371">
      <w:pPr>
        <w:pStyle w:val="standard"/>
        <w:spacing w:line="240" w:lineRule="auto"/>
        <w:ind w:firstLine="0"/>
        <w:rPr>
          <w:b/>
        </w:rPr>
      </w:pPr>
      <w:r w:rsidRPr="00300371">
        <w:rPr>
          <w:b/>
        </w:rPr>
        <w:t>Table 2</w:t>
      </w:r>
    </w:p>
    <w:p w14:paraId="35D6A058" w14:textId="77777777" w:rsidR="001255D7" w:rsidRPr="0032600A" w:rsidRDefault="001255D7" w:rsidP="001255D7">
      <w:pPr>
        <w:pStyle w:val="standard"/>
        <w:spacing w:line="240" w:lineRule="auto"/>
        <w:ind w:firstLine="0"/>
        <w:rPr>
          <w:i/>
          <w:iCs/>
          <w:szCs w:val="24"/>
        </w:rPr>
      </w:pPr>
      <w:r>
        <w:rPr>
          <w:i/>
          <w:iCs/>
          <w:szCs w:val="24"/>
        </w:rPr>
        <w:t>Hierarchical</w:t>
      </w:r>
      <w:r w:rsidRPr="0032600A">
        <w:rPr>
          <w:i/>
          <w:iCs/>
          <w:szCs w:val="24"/>
        </w:rPr>
        <w:t xml:space="preserve"> Linear Models</w:t>
      </w:r>
    </w:p>
    <w:tbl>
      <w:tblPr>
        <w:tblStyle w:val="TableGrid"/>
        <w:tblW w:w="5000" w:type="pct"/>
        <w:tblLook w:val="04A0" w:firstRow="1" w:lastRow="0" w:firstColumn="1" w:lastColumn="0" w:noHBand="0" w:noVBand="1"/>
      </w:tblPr>
      <w:tblGrid>
        <w:gridCol w:w="1590"/>
        <w:gridCol w:w="7760"/>
      </w:tblGrid>
      <w:tr w:rsidR="001255D7" w:rsidRPr="0032600A" w14:paraId="6B6127DA" w14:textId="77777777" w:rsidTr="00E52D07">
        <w:trPr>
          <w:trHeight w:val="20"/>
        </w:trPr>
        <w:tc>
          <w:tcPr>
            <w:tcW w:w="623" w:type="pct"/>
            <w:vMerge w:val="restart"/>
            <w:vAlign w:val="center"/>
          </w:tcPr>
          <w:p w14:paraId="05D20E17" w14:textId="77777777" w:rsidR="001255D7" w:rsidRPr="0032600A" w:rsidRDefault="001255D7" w:rsidP="00E52D07">
            <w:pPr>
              <w:jc w:val="center"/>
            </w:pPr>
            <w:r w:rsidRPr="0032600A">
              <w:t>Unconditional Model</w:t>
            </w:r>
          </w:p>
        </w:tc>
        <w:tc>
          <w:tcPr>
            <w:tcW w:w="4377" w:type="pct"/>
          </w:tcPr>
          <w:p w14:paraId="66732BB8"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Level</m:t>
                </m:r>
                <m:r>
                  <m:rPr>
                    <m:sty m:val="p"/>
                  </m:rPr>
                  <w:rPr>
                    <w:rFonts w:ascii="Cambria Math" w:hAnsi="Cambria Math"/>
                    <w:sz w:val="24"/>
                    <w:szCs w:val="24"/>
                  </w:rPr>
                  <m:t xml:space="preserve"> 1:</m:t>
                </m:r>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ij</m:t>
                    </m:r>
                  </m:sub>
                </m:sSub>
              </m:oMath>
            </m:oMathPara>
          </w:p>
        </w:tc>
      </w:tr>
      <w:tr w:rsidR="001255D7" w:rsidRPr="0032600A" w14:paraId="6D8BB9FF" w14:textId="77777777" w:rsidTr="00E52D07">
        <w:trPr>
          <w:trHeight w:val="20"/>
        </w:trPr>
        <w:tc>
          <w:tcPr>
            <w:tcW w:w="623" w:type="pct"/>
            <w:vMerge/>
            <w:vAlign w:val="center"/>
          </w:tcPr>
          <w:p w14:paraId="0942D9A0" w14:textId="77777777" w:rsidR="001255D7" w:rsidRPr="0032600A" w:rsidRDefault="001255D7" w:rsidP="00E52D07">
            <w:pPr>
              <w:jc w:val="center"/>
            </w:pPr>
          </w:p>
        </w:tc>
        <w:tc>
          <w:tcPr>
            <w:tcW w:w="4377" w:type="pct"/>
          </w:tcPr>
          <w:p w14:paraId="64A37350" w14:textId="77777777" w:rsidR="001255D7" w:rsidRPr="0032600A" w:rsidRDefault="001255D7" w:rsidP="00E52D07">
            <w:pPr>
              <w:pStyle w:val="NoSpacing"/>
              <w:spacing w:after="60"/>
              <w:jc w:val="center"/>
              <w:rPr>
                <w:rFonts w:ascii="Times New Roman" w:hAnsi="Times New Roman"/>
                <w:sz w:val="24"/>
                <w:szCs w:val="24"/>
              </w:rPr>
            </w:pPr>
            <m:oMathPara>
              <m:oMathParaPr>
                <m:jc m:val="left"/>
              </m:oMathParaPr>
              <m:oMath>
                <m:r>
                  <w:rPr>
                    <w:rFonts w:ascii="Cambria Math" w:hAnsi="Cambria Math"/>
                    <w:sz w:val="24"/>
                    <w:szCs w:val="24"/>
                  </w:rPr>
                  <m:t xml:space="preserve">Level 2: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m:rPr>
                        <m:sty m:val="p"/>
                      </m:rPr>
                      <w:rPr>
                        <w:rFonts w:ascii="Cambria Math" w:hAnsi="Cambria Math"/>
                        <w:sz w:val="24"/>
                        <w:szCs w:val="24"/>
                      </w:rPr>
                      <m:t>0</m:t>
                    </m:r>
                    <m:r>
                      <w:rPr>
                        <w:rFonts w:ascii="Cambria Math" w:hAnsi="Cambria Math"/>
                        <w:sz w:val="24"/>
                        <w:szCs w:val="24"/>
                      </w:rPr>
                      <m:t>j</m:t>
                    </m:r>
                  </m:sub>
                </m:sSub>
              </m:oMath>
            </m:oMathPara>
          </w:p>
        </w:tc>
      </w:tr>
      <w:tr w:rsidR="001255D7" w:rsidRPr="0032600A" w14:paraId="5B752505" w14:textId="77777777" w:rsidTr="00E52D07">
        <w:trPr>
          <w:trHeight w:val="20"/>
        </w:trPr>
        <w:tc>
          <w:tcPr>
            <w:tcW w:w="623" w:type="pct"/>
            <w:vMerge w:val="restart"/>
            <w:vAlign w:val="center"/>
          </w:tcPr>
          <w:p w14:paraId="246B6818" w14:textId="77777777" w:rsidR="001255D7" w:rsidRPr="0032600A" w:rsidRDefault="001255D7" w:rsidP="00E52D07">
            <w:pPr>
              <w:jc w:val="center"/>
            </w:pPr>
            <w:r w:rsidRPr="0032600A">
              <w:t>Model 1</w:t>
            </w:r>
          </w:p>
        </w:tc>
        <w:tc>
          <w:tcPr>
            <w:tcW w:w="4377" w:type="pct"/>
          </w:tcPr>
          <w:p w14:paraId="47852F52"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Level</m:t>
                </m:r>
                <m:r>
                  <m:rPr>
                    <m:sty m:val="p"/>
                  </m:rPr>
                  <w:rPr>
                    <w:rFonts w:ascii="Cambria Math" w:hAnsi="Cambria Math"/>
                    <w:sz w:val="24"/>
                    <w:szCs w:val="24"/>
                  </w:rPr>
                  <m:t xml:space="preserve"> 1:</m:t>
                </m:r>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Pretest</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ij</m:t>
                    </m:r>
                  </m:sub>
                </m:sSub>
              </m:oMath>
            </m:oMathPara>
          </w:p>
        </w:tc>
      </w:tr>
      <w:tr w:rsidR="001255D7" w:rsidRPr="0032600A" w14:paraId="1AFAFB6E" w14:textId="77777777" w:rsidTr="00E52D07">
        <w:trPr>
          <w:trHeight w:val="20"/>
        </w:trPr>
        <w:tc>
          <w:tcPr>
            <w:tcW w:w="623" w:type="pct"/>
            <w:vMerge/>
          </w:tcPr>
          <w:p w14:paraId="381A0E8D" w14:textId="77777777" w:rsidR="001255D7" w:rsidRPr="0032600A" w:rsidRDefault="001255D7" w:rsidP="00E52D07"/>
        </w:tc>
        <w:tc>
          <w:tcPr>
            <w:tcW w:w="4377" w:type="pct"/>
          </w:tcPr>
          <w:p w14:paraId="5AAD19FA" w14:textId="77777777" w:rsidR="001255D7" w:rsidRPr="0032600A" w:rsidRDefault="001255D7" w:rsidP="00E52D07">
            <w:pPr>
              <w:pStyle w:val="NoSpacing"/>
              <w:spacing w:after="60"/>
              <w:jc w:val="center"/>
              <w:rPr>
                <w:rFonts w:ascii="Times New Roman" w:hAnsi="Times New Roman"/>
                <w:sz w:val="24"/>
                <w:szCs w:val="24"/>
              </w:rPr>
            </w:pPr>
            <m:oMathPara>
              <m:oMathParaPr>
                <m:jc m:val="left"/>
              </m:oMathParaPr>
              <m:oMath>
                <m:r>
                  <w:rPr>
                    <w:rFonts w:ascii="Cambria Math" w:hAnsi="Cambria Math"/>
                    <w:sz w:val="24"/>
                    <w:szCs w:val="24"/>
                  </w:rPr>
                  <m:t xml:space="preserve">Level 2: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01</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FRL</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GradeBand</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04</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Marginalized</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m:rPr>
                        <m:sty m:val="p"/>
                      </m:rPr>
                      <w:rPr>
                        <w:rFonts w:ascii="Cambria Math" w:hAnsi="Cambria Math"/>
                        <w:sz w:val="24"/>
                        <w:szCs w:val="24"/>
                      </w:rPr>
                      <m:t>0</m:t>
                    </m:r>
                    <m:r>
                      <w:rPr>
                        <w:rFonts w:ascii="Cambria Math" w:hAnsi="Cambria Math"/>
                        <w:sz w:val="24"/>
                        <w:szCs w:val="24"/>
                      </w:rPr>
                      <m:t>j</m:t>
                    </m:r>
                  </m:sub>
                </m:sSub>
              </m:oMath>
            </m:oMathPara>
          </w:p>
          <w:p w14:paraId="3DCA7518" w14:textId="77777777" w:rsidR="001255D7" w:rsidRPr="0032600A" w:rsidRDefault="001255D7" w:rsidP="00E52D07">
            <w:pPr>
              <w:pStyle w:val="NoSpacing"/>
              <w:spacing w:after="60"/>
              <w:rPr>
                <w:rFonts w:ascii="Times New Roman" w:hAnsi="Times New Roman"/>
                <w:sz w:val="24"/>
                <w:szCs w:val="24"/>
              </w:rPr>
            </w:pPr>
            <w:r w:rsidRPr="0032600A">
              <w:rPr>
                <w:rFonts w:ascii="Times New Roman" w:hAnsi="Times New Roman"/>
                <w:sz w:val="24"/>
                <w:szCs w:val="24"/>
              </w:rPr>
              <w:lastRenderedPageBreak/>
              <w:t xml:space="preserve">              </w:t>
            </w:r>
            <m:oMath>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10</m:t>
                  </m:r>
                </m:sub>
              </m:sSub>
            </m:oMath>
          </w:p>
        </w:tc>
      </w:tr>
      <w:tr w:rsidR="001255D7" w:rsidRPr="0032600A" w14:paraId="38859AAF" w14:textId="77777777" w:rsidTr="00E52D07">
        <w:trPr>
          <w:trHeight w:val="20"/>
        </w:trPr>
        <w:tc>
          <w:tcPr>
            <w:tcW w:w="623" w:type="pct"/>
            <w:vMerge w:val="restart"/>
            <w:vAlign w:val="center"/>
          </w:tcPr>
          <w:p w14:paraId="298C590B" w14:textId="77777777" w:rsidR="001255D7" w:rsidRPr="0032600A" w:rsidRDefault="001255D7" w:rsidP="00E52D07">
            <w:pPr>
              <w:jc w:val="center"/>
            </w:pPr>
            <w:r w:rsidRPr="0032600A">
              <w:lastRenderedPageBreak/>
              <w:t>Model 2</w:t>
            </w:r>
          </w:p>
        </w:tc>
        <w:tc>
          <w:tcPr>
            <w:tcW w:w="4377" w:type="pct"/>
          </w:tcPr>
          <w:p w14:paraId="0840C9AD"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 xml:space="preserve">Level </m:t>
                </m:r>
                <m:r>
                  <m:rPr>
                    <m:sty m:val="p"/>
                  </m:rPr>
                  <w:rPr>
                    <w:rFonts w:ascii="Cambria Math" w:hAnsi="Cambria Math"/>
                    <w:sz w:val="24"/>
                    <w:szCs w:val="24"/>
                  </w:rPr>
                  <m:t>1:</m:t>
                </m:r>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Pretest</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ij</m:t>
                    </m:r>
                  </m:sub>
                </m:sSub>
              </m:oMath>
            </m:oMathPara>
          </w:p>
        </w:tc>
      </w:tr>
      <w:tr w:rsidR="001255D7" w:rsidRPr="0032600A" w14:paraId="79A015EE" w14:textId="77777777" w:rsidTr="00E52D07">
        <w:trPr>
          <w:trHeight w:val="20"/>
        </w:trPr>
        <w:tc>
          <w:tcPr>
            <w:tcW w:w="623" w:type="pct"/>
            <w:vMerge/>
            <w:vAlign w:val="center"/>
          </w:tcPr>
          <w:p w14:paraId="788C052F" w14:textId="77777777" w:rsidR="001255D7" w:rsidRPr="0032600A" w:rsidRDefault="001255D7" w:rsidP="00E52D07">
            <w:pPr>
              <w:jc w:val="center"/>
            </w:pPr>
          </w:p>
        </w:tc>
        <w:tc>
          <w:tcPr>
            <w:tcW w:w="4377" w:type="pct"/>
          </w:tcPr>
          <w:p w14:paraId="2EAFE592"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 xml:space="preserve">Level 2: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01</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FRL</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Marginalized</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m:rPr>
                        <m:sty m:val="p"/>
                      </m:rPr>
                      <w:rPr>
                        <w:rFonts w:ascii="Cambria Math" w:hAnsi="Cambria Math"/>
                        <w:sz w:val="24"/>
                        <w:szCs w:val="24"/>
                      </w:rPr>
                      <m:t>0</m:t>
                    </m:r>
                    <m:r>
                      <w:rPr>
                        <w:rFonts w:ascii="Cambria Math" w:hAnsi="Cambria Math"/>
                        <w:sz w:val="24"/>
                        <w:szCs w:val="24"/>
                      </w:rPr>
                      <m:t>j</m:t>
                    </m:r>
                  </m:sub>
                </m:sSub>
              </m:oMath>
            </m:oMathPara>
          </w:p>
          <w:p w14:paraId="2D06D181" w14:textId="77777777" w:rsidR="001255D7" w:rsidRPr="0032600A" w:rsidRDefault="001255D7" w:rsidP="00E52D07">
            <w:r w:rsidRPr="0032600A">
              <w:tab/>
            </w:r>
            <m:oMath>
              <m:sSub>
                <m:sSubPr>
                  <m:ctrlPr>
                    <w:rPr>
                      <w:rFonts w:ascii="Cambria Math" w:hAnsi="Cambria Math"/>
                    </w:rPr>
                  </m:ctrlPr>
                </m:sSubPr>
                <m:e>
                  <m:r>
                    <w:rPr>
                      <w:rFonts w:ascii="Cambria Math" w:hAnsi="Cambria Math"/>
                    </w:rPr>
                    <m:t>β</m:t>
                  </m:r>
                </m:e>
                <m:sub>
                  <m:r>
                    <m:rPr>
                      <m:sty m:val="p"/>
                    </m:rPr>
                    <w:rPr>
                      <w:rFonts w:ascii="Cambria Math" w:hAnsi="Cambria Math"/>
                    </w:rPr>
                    <m:t>1</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m:rPr>
                      <m:sty m:val="p"/>
                    </m:rPr>
                    <w:rPr>
                      <w:rFonts w:ascii="Cambria Math" w:hAnsi="Cambria Math"/>
                    </w:rPr>
                    <m:t>10</m:t>
                  </m:r>
                </m:sub>
              </m:sSub>
            </m:oMath>
          </w:p>
        </w:tc>
      </w:tr>
      <w:tr w:rsidR="001255D7" w:rsidRPr="0032600A" w14:paraId="135D2660" w14:textId="77777777" w:rsidTr="00E52D07">
        <w:trPr>
          <w:trHeight w:val="20"/>
        </w:trPr>
        <w:tc>
          <w:tcPr>
            <w:tcW w:w="623" w:type="pct"/>
            <w:vMerge w:val="restart"/>
            <w:vAlign w:val="center"/>
          </w:tcPr>
          <w:p w14:paraId="0D764406" w14:textId="77777777" w:rsidR="001255D7" w:rsidRPr="0032600A" w:rsidRDefault="001255D7" w:rsidP="00E52D07">
            <w:pPr>
              <w:jc w:val="center"/>
            </w:pPr>
            <w:r w:rsidRPr="0032600A">
              <w:t xml:space="preserve">Model </w:t>
            </w:r>
            <w:r>
              <w:t>3: program development</w:t>
            </w:r>
          </w:p>
        </w:tc>
        <w:tc>
          <w:tcPr>
            <w:tcW w:w="4377" w:type="pct"/>
          </w:tcPr>
          <w:p w14:paraId="0D1C57B3" w14:textId="77777777" w:rsidR="001255D7" w:rsidRPr="0032600A" w:rsidRDefault="001255D7" w:rsidP="00E52D07">
            <w:pPr>
              <w:pStyle w:val="NoSpacing"/>
              <w:spacing w:after="60"/>
              <w:jc w:val="center"/>
              <w:rPr>
                <w:rFonts w:ascii="Times New Roman" w:eastAsia="DengXian" w:hAnsi="Times New Roman"/>
                <w:sz w:val="24"/>
                <w:szCs w:val="24"/>
              </w:rPr>
            </w:pPr>
            <m:oMathPara>
              <m:oMathParaPr>
                <m:jc m:val="left"/>
              </m:oMathParaPr>
              <m:oMath>
                <m:r>
                  <w:rPr>
                    <w:rFonts w:ascii="Cambria Math" w:hAnsi="Cambria Math"/>
                    <w:sz w:val="24"/>
                    <w:szCs w:val="24"/>
                  </w:rPr>
                  <m:t xml:space="preserve">Level </m:t>
                </m:r>
                <m:r>
                  <m:rPr>
                    <m:sty m:val="p"/>
                  </m:rPr>
                  <w:rPr>
                    <w:rFonts w:ascii="Cambria Math" w:hAnsi="Cambria Math"/>
                    <w:sz w:val="24"/>
                    <w:szCs w:val="24"/>
                  </w:rPr>
                  <m:t>1:</m:t>
                </m:r>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Pretest</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ij</m:t>
                    </m:r>
                  </m:sub>
                </m:sSub>
              </m:oMath>
            </m:oMathPara>
          </w:p>
        </w:tc>
      </w:tr>
      <w:tr w:rsidR="001255D7" w:rsidRPr="0032600A" w14:paraId="1F53FEBE" w14:textId="77777777" w:rsidTr="00E52D07">
        <w:trPr>
          <w:trHeight w:val="20"/>
        </w:trPr>
        <w:tc>
          <w:tcPr>
            <w:tcW w:w="623" w:type="pct"/>
            <w:vMerge/>
            <w:vAlign w:val="center"/>
          </w:tcPr>
          <w:p w14:paraId="7795FB20" w14:textId="77777777" w:rsidR="001255D7" w:rsidRPr="0032600A" w:rsidRDefault="001255D7" w:rsidP="00E52D07">
            <w:pPr>
              <w:jc w:val="center"/>
            </w:pPr>
          </w:p>
        </w:tc>
        <w:tc>
          <w:tcPr>
            <w:tcW w:w="4377" w:type="pct"/>
          </w:tcPr>
          <w:p w14:paraId="4FCFFB0D"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 xml:space="preserve">Level 2: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01</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FRL</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Marginalized</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Indicators for Academic Year</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m:rPr>
                        <m:sty m:val="p"/>
                      </m:rPr>
                      <w:rPr>
                        <w:rFonts w:ascii="Cambria Math" w:hAnsi="Cambria Math"/>
                        <w:sz w:val="24"/>
                        <w:szCs w:val="24"/>
                      </w:rPr>
                      <m:t>0</m:t>
                    </m:r>
                    <m:r>
                      <w:rPr>
                        <w:rFonts w:ascii="Cambria Math" w:hAnsi="Cambria Math"/>
                        <w:sz w:val="24"/>
                        <w:szCs w:val="24"/>
                      </w:rPr>
                      <m:t>j</m:t>
                    </m:r>
                  </m:sub>
                </m:sSub>
              </m:oMath>
            </m:oMathPara>
          </w:p>
          <w:p w14:paraId="78DF0872" w14:textId="77777777" w:rsidR="001255D7" w:rsidRPr="0032600A" w:rsidRDefault="001255D7" w:rsidP="00E52D07">
            <w:pPr>
              <w:pStyle w:val="NoSpacing"/>
              <w:spacing w:after="60"/>
              <w:rPr>
                <w:rFonts w:ascii="Times New Roman" w:eastAsia="DengXian" w:hAnsi="Times New Roman"/>
                <w:sz w:val="24"/>
                <w:szCs w:val="24"/>
              </w:rPr>
            </w:pPr>
            <w:r w:rsidRPr="0032600A">
              <w:rPr>
                <w:rFonts w:ascii="Times New Roman" w:hAnsi="Times New Roman"/>
                <w:sz w:val="24"/>
                <w:szCs w:val="24"/>
              </w:rPr>
              <w:tab/>
            </w:r>
            <m:oMath>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10</m:t>
                  </m:r>
                </m:sub>
              </m:sSub>
            </m:oMath>
          </w:p>
        </w:tc>
      </w:tr>
      <w:tr w:rsidR="001255D7" w:rsidRPr="0032600A" w14:paraId="103426A9" w14:textId="77777777" w:rsidTr="00E52D07">
        <w:trPr>
          <w:trHeight w:val="20"/>
        </w:trPr>
        <w:tc>
          <w:tcPr>
            <w:tcW w:w="623" w:type="pct"/>
            <w:vMerge w:val="restart"/>
            <w:vAlign w:val="center"/>
          </w:tcPr>
          <w:p w14:paraId="74608647" w14:textId="77777777" w:rsidR="001255D7" w:rsidRPr="0032600A" w:rsidRDefault="001255D7" w:rsidP="00E52D07">
            <w:pPr>
              <w:jc w:val="center"/>
            </w:pPr>
            <w:r>
              <w:rPr>
                <w:rFonts w:hint="eastAsia"/>
              </w:rPr>
              <w:t>M</w:t>
            </w:r>
            <w:r>
              <w:t>odel 4: teacher experience</w:t>
            </w:r>
          </w:p>
        </w:tc>
        <w:tc>
          <w:tcPr>
            <w:tcW w:w="4377" w:type="pct"/>
          </w:tcPr>
          <w:p w14:paraId="360C4808" w14:textId="77777777" w:rsidR="001255D7" w:rsidRPr="0032600A" w:rsidRDefault="001255D7" w:rsidP="00E52D07">
            <w:pPr>
              <w:pStyle w:val="NoSpacing"/>
              <w:spacing w:after="60"/>
              <w:rPr>
                <w:rFonts w:ascii="Times New Roman" w:eastAsia="DengXian" w:hAnsi="Times New Roman"/>
                <w:sz w:val="24"/>
                <w:szCs w:val="24"/>
              </w:rPr>
            </w:pPr>
            <m:oMathPara>
              <m:oMathParaPr>
                <m:jc m:val="left"/>
              </m:oMathParaPr>
              <m:oMath>
                <m:r>
                  <w:rPr>
                    <w:rFonts w:ascii="Cambria Math" w:hAnsi="Cambria Math"/>
                    <w:sz w:val="24"/>
                    <w:szCs w:val="24"/>
                  </w:rPr>
                  <m:t xml:space="preserve">Level </m:t>
                </m:r>
                <m:r>
                  <m:rPr>
                    <m:sty m:val="p"/>
                  </m:rPr>
                  <w:rPr>
                    <w:rFonts w:ascii="Cambria Math" w:hAnsi="Cambria Math"/>
                    <w:sz w:val="24"/>
                    <w:szCs w:val="24"/>
                  </w:rPr>
                  <m:t>1:</m:t>
                </m:r>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Pretest</m:t>
                        </m:r>
                      </m:e>
                      <m:sub>
                        <m: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ij</m:t>
                    </m:r>
                  </m:sub>
                </m:sSub>
              </m:oMath>
            </m:oMathPara>
          </w:p>
        </w:tc>
      </w:tr>
      <w:tr w:rsidR="001255D7" w:rsidRPr="0032600A" w14:paraId="5D6E0E42" w14:textId="77777777" w:rsidTr="00E52D07">
        <w:trPr>
          <w:trHeight w:val="20"/>
        </w:trPr>
        <w:tc>
          <w:tcPr>
            <w:tcW w:w="623" w:type="pct"/>
            <w:vMerge/>
            <w:vAlign w:val="center"/>
          </w:tcPr>
          <w:p w14:paraId="3BBBED5F" w14:textId="77777777" w:rsidR="001255D7" w:rsidRPr="0032600A" w:rsidRDefault="001255D7" w:rsidP="00E52D07">
            <w:pPr>
              <w:spacing w:line="480" w:lineRule="auto"/>
              <w:jc w:val="center"/>
            </w:pPr>
          </w:p>
        </w:tc>
        <w:tc>
          <w:tcPr>
            <w:tcW w:w="4377" w:type="pct"/>
          </w:tcPr>
          <w:p w14:paraId="338E3665" w14:textId="77777777" w:rsidR="001255D7" w:rsidRPr="0032600A" w:rsidRDefault="001255D7" w:rsidP="00E52D07">
            <w:pPr>
              <w:pStyle w:val="NoSpacing"/>
              <w:spacing w:after="60"/>
              <w:rPr>
                <w:rFonts w:ascii="Times New Roman" w:hAnsi="Times New Roman"/>
                <w:sz w:val="24"/>
                <w:szCs w:val="24"/>
              </w:rPr>
            </w:pPr>
            <m:oMathPara>
              <m:oMathParaPr>
                <m:jc m:val="left"/>
              </m:oMathParaPr>
              <m:oMath>
                <m:r>
                  <w:rPr>
                    <w:rFonts w:ascii="Cambria Math" w:hAnsi="Cambria Math"/>
                    <w:sz w:val="24"/>
                    <w:szCs w:val="24"/>
                  </w:rPr>
                  <m:t xml:space="preserve">Level 2: </m:t>
                </m:r>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0</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01</m:t>
                    </m:r>
                  </m:sub>
                </m:sSub>
                <m:r>
                  <m:rPr>
                    <m:sty m:val="p"/>
                  </m:rPr>
                  <w:rPr>
                    <w:rFonts w:ascii="Cambria Math" w:hAnsi="Cambria Math"/>
                    <w:sz w:val="24"/>
                    <w:szCs w:val="24"/>
                  </w:rPr>
                  <m:t>∙</m:t>
                </m:r>
                <m:sSub>
                  <m:sSubPr>
                    <m:ctrlPr>
                      <w:rPr>
                        <w:rFonts w:ascii="Cambria Math" w:hAnsi="Cambria Math"/>
                        <w:sz w:val="24"/>
                        <w:szCs w:val="24"/>
                      </w:rPr>
                    </m:ctrlPr>
                  </m:sSubPr>
                  <m:e>
                    <m:acc>
                      <m:accPr>
                        <m:chr m:val="̅"/>
                        <m:ctrlPr>
                          <w:rPr>
                            <w:rFonts w:ascii="Cambria Math" w:hAnsi="Cambria Math"/>
                            <w:sz w:val="24"/>
                            <w:szCs w:val="24"/>
                          </w:rPr>
                        </m:ctrlPr>
                      </m:accPr>
                      <m:e>
                        <m:r>
                          <w:rPr>
                            <w:rFonts w:ascii="Cambria Math" w:hAnsi="Cambria Math"/>
                            <w:sz w:val="24"/>
                            <w:szCs w:val="24"/>
                          </w:rPr>
                          <m:t>Pretest</m:t>
                        </m:r>
                      </m:e>
                    </m:acc>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FRL</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03</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Marginalized</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04</m:t>
                        </m:r>
                      </m:sub>
                    </m:sSub>
                    <m:r>
                      <w:rPr>
                        <w:rFonts w:ascii="Cambria Math" w:hAnsi="Cambria Math"/>
                        <w:sz w:val="24"/>
                        <w:szCs w:val="24"/>
                      </w:rPr>
                      <m:t>∙Indicators for Teacher Year</m:t>
                    </m:r>
                  </m:e>
                  <m:sub>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u</m:t>
                    </m:r>
                  </m:e>
                  <m:sub>
                    <m:r>
                      <m:rPr>
                        <m:sty m:val="p"/>
                      </m:rPr>
                      <w:rPr>
                        <w:rFonts w:ascii="Cambria Math" w:hAnsi="Cambria Math"/>
                        <w:sz w:val="24"/>
                        <w:szCs w:val="24"/>
                      </w:rPr>
                      <m:t>0</m:t>
                    </m:r>
                    <m:r>
                      <w:rPr>
                        <w:rFonts w:ascii="Cambria Math" w:hAnsi="Cambria Math"/>
                        <w:sz w:val="24"/>
                        <w:szCs w:val="24"/>
                      </w:rPr>
                      <m:t>j</m:t>
                    </m:r>
                  </m:sub>
                </m:sSub>
              </m:oMath>
            </m:oMathPara>
          </w:p>
          <w:p w14:paraId="71C99535" w14:textId="77777777" w:rsidR="001255D7" w:rsidRPr="0032600A" w:rsidRDefault="001255D7" w:rsidP="00E52D07">
            <w:pPr>
              <w:pStyle w:val="NoSpacing"/>
              <w:spacing w:after="60"/>
              <w:rPr>
                <w:rFonts w:ascii="Times New Roman" w:eastAsia="DengXian" w:hAnsi="Times New Roman"/>
                <w:sz w:val="24"/>
                <w:szCs w:val="24"/>
              </w:rPr>
            </w:pPr>
            <w:r w:rsidRPr="0032600A">
              <w:rPr>
                <w:rFonts w:ascii="Times New Roman" w:hAnsi="Times New Roman"/>
                <w:sz w:val="24"/>
                <w:szCs w:val="24"/>
              </w:rPr>
              <w:tab/>
            </w:r>
            <m:oMath>
              <m:sSub>
                <m:sSubPr>
                  <m:ctrlPr>
                    <w:rPr>
                      <w:rFonts w:ascii="Cambria Math" w:hAnsi="Cambria Math"/>
                      <w:sz w:val="24"/>
                      <w:szCs w:val="24"/>
                    </w:rPr>
                  </m:ctrlPr>
                </m:sSubPr>
                <m:e>
                  <m:r>
                    <w:rPr>
                      <w:rFonts w:ascii="Cambria Math" w:hAnsi="Cambria Math"/>
                      <w:sz w:val="24"/>
                      <w:szCs w:val="24"/>
                    </w:rPr>
                    <m:t>β</m:t>
                  </m:r>
                </m:e>
                <m:sub>
                  <m:r>
                    <m:rPr>
                      <m:sty m:val="p"/>
                    </m:rPr>
                    <w:rPr>
                      <w:rFonts w:ascii="Cambria Math" w:hAnsi="Cambria Math"/>
                      <w:sz w:val="24"/>
                      <w:szCs w:val="24"/>
                    </w:rPr>
                    <m:t>1</m:t>
                  </m:r>
                  <m:r>
                    <w:rPr>
                      <w:rFonts w:ascii="Cambria Math" w:hAnsi="Cambria Math"/>
                      <w:sz w:val="24"/>
                      <w:szCs w:val="24"/>
                    </w:rPr>
                    <m:t>j</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γ</m:t>
                  </m:r>
                </m:e>
                <m:sub>
                  <m:r>
                    <m:rPr>
                      <m:sty m:val="p"/>
                    </m:rPr>
                    <w:rPr>
                      <w:rFonts w:ascii="Cambria Math" w:hAnsi="Cambria Math"/>
                      <w:sz w:val="24"/>
                      <w:szCs w:val="24"/>
                    </w:rPr>
                    <m:t>10</m:t>
                  </m:r>
                </m:sub>
              </m:sSub>
            </m:oMath>
          </w:p>
        </w:tc>
      </w:tr>
      <w:tr w:rsidR="001255D7" w:rsidRPr="0032600A" w14:paraId="17E1FAFC" w14:textId="77777777" w:rsidTr="00E52D07">
        <w:trPr>
          <w:trHeight w:val="20"/>
        </w:trPr>
        <w:tc>
          <w:tcPr>
            <w:tcW w:w="5000" w:type="pct"/>
            <w:gridSpan w:val="2"/>
            <w:vAlign w:val="center"/>
          </w:tcPr>
          <w:p w14:paraId="6225EB7E"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Gain</m:t>
                  </m:r>
                </m:e>
                <m:sub>
                  <m:r>
                    <w:rPr>
                      <w:rFonts w:ascii="Cambria Math" w:hAnsi="Cambria Math"/>
                      <w:sz w:val="24"/>
                      <w:szCs w:val="24"/>
                    </w:rPr>
                    <m:t>ij</m:t>
                  </m:r>
                </m:sub>
              </m:sSub>
            </m:oMath>
            <w:r w:rsidR="001255D7" w:rsidRPr="0032600A">
              <w:rPr>
                <w:rFonts w:ascii="Times New Roman" w:hAnsi="Times New Roman"/>
                <w:sz w:val="24"/>
                <w:szCs w:val="24"/>
              </w:rPr>
              <w:t xml:space="preserve"> is the learning gain for student </w:t>
            </w:r>
            <w:proofErr w:type="spellStart"/>
            <w:r w:rsidR="001255D7" w:rsidRPr="0032600A">
              <w:rPr>
                <w:rFonts w:ascii="Times New Roman" w:hAnsi="Times New Roman"/>
                <w:i/>
                <w:iCs/>
                <w:sz w:val="24"/>
                <w:szCs w:val="24"/>
              </w:rPr>
              <w:t>i</w:t>
            </w:r>
            <w:proofErr w:type="spellEnd"/>
            <w:r w:rsidR="001255D7" w:rsidRPr="0032600A">
              <w:rPr>
                <w:rFonts w:ascii="Times New Roman" w:hAnsi="Times New Roman"/>
                <w:sz w:val="24"/>
                <w:szCs w:val="24"/>
              </w:rPr>
              <w:t xml:space="preserve"> taught by </w:t>
            </w:r>
            <w:proofErr w:type="gramStart"/>
            <w:r w:rsidR="001255D7" w:rsidRPr="0032600A">
              <w:rPr>
                <w:rFonts w:ascii="Times New Roman" w:hAnsi="Times New Roman"/>
                <w:sz w:val="24"/>
                <w:szCs w:val="24"/>
              </w:rPr>
              <w:t xml:space="preserve">teacher </w:t>
            </w:r>
            <w:r w:rsidR="001255D7" w:rsidRPr="0032600A">
              <w:rPr>
                <w:rFonts w:ascii="Times New Roman" w:hAnsi="Times New Roman"/>
                <w:i/>
                <w:iCs/>
                <w:sz w:val="24"/>
                <w:szCs w:val="24"/>
              </w:rPr>
              <w:t>j</w:t>
            </w:r>
            <w:r w:rsidR="001255D7" w:rsidRPr="0032600A">
              <w:rPr>
                <w:rFonts w:ascii="Times New Roman" w:hAnsi="Times New Roman"/>
                <w:sz w:val="24"/>
                <w:szCs w:val="24"/>
              </w:rPr>
              <w:t>;</w:t>
            </w:r>
            <w:proofErr w:type="gramEnd"/>
            <w:r w:rsidR="001255D7" w:rsidRPr="0032600A">
              <w:rPr>
                <w:rFonts w:ascii="Times New Roman" w:hAnsi="Times New Roman"/>
                <w:sz w:val="24"/>
                <w:szCs w:val="24"/>
              </w:rPr>
              <w:t xml:space="preserve"> </w:t>
            </w:r>
          </w:p>
          <w:p w14:paraId="63C821BB"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Pretest</m:t>
                  </m:r>
                </m:e>
                <m:sub>
                  <m:r>
                    <w:rPr>
                      <w:rFonts w:ascii="Cambria Math" w:hAnsi="Cambria Math"/>
                      <w:sz w:val="24"/>
                      <w:szCs w:val="24"/>
                    </w:rPr>
                    <m:t>ij</m:t>
                  </m:r>
                </m:sub>
              </m:sSub>
            </m:oMath>
            <w:r w:rsidR="001255D7" w:rsidRPr="0032600A">
              <w:rPr>
                <w:rFonts w:ascii="Times New Roman" w:hAnsi="Times New Roman"/>
                <w:sz w:val="24"/>
                <w:szCs w:val="24"/>
              </w:rPr>
              <w:t xml:space="preserve"> is the learning proficiency for student </w:t>
            </w:r>
            <w:proofErr w:type="spellStart"/>
            <w:r w:rsidR="001255D7" w:rsidRPr="0032600A">
              <w:rPr>
                <w:rFonts w:ascii="Times New Roman" w:hAnsi="Times New Roman"/>
                <w:i/>
                <w:iCs/>
                <w:sz w:val="24"/>
                <w:szCs w:val="24"/>
              </w:rPr>
              <w:t>i</w:t>
            </w:r>
            <w:proofErr w:type="spellEnd"/>
            <w:r w:rsidR="001255D7" w:rsidRPr="0032600A">
              <w:rPr>
                <w:rFonts w:ascii="Times New Roman" w:hAnsi="Times New Roman"/>
                <w:sz w:val="24"/>
                <w:szCs w:val="24"/>
              </w:rPr>
              <w:t xml:space="preserve"> measured in </w:t>
            </w:r>
            <w:proofErr w:type="gramStart"/>
            <w:r w:rsidR="001255D7" w:rsidRPr="0032600A">
              <w:rPr>
                <w:rFonts w:ascii="Times New Roman" w:hAnsi="Times New Roman"/>
                <w:sz w:val="24"/>
                <w:szCs w:val="24"/>
              </w:rPr>
              <w:t>the Pretest;</w:t>
            </w:r>
            <w:proofErr w:type="gramEnd"/>
            <w:r w:rsidR="001255D7" w:rsidRPr="0032600A">
              <w:rPr>
                <w:rFonts w:ascii="Times New Roman" w:hAnsi="Times New Roman"/>
                <w:sz w:val="24"/>
                <w:szCs w:val="24"/>
              </w:rPr>
              <w:t xml:space="preserve"> </w:t>
            </w:r>
          </w:p>
          <w:p w14:paraId="0FC2DE6D"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Pretest</m:t>
                      </m:r>
                    </m:e>
                  </m:acc>
                </m:e>
                <m:sub>
                  <m:r>
                    <w:rPr>
                      <w:rFonts w:ascii="Cambria Math" w:hAnsi="Cambria Math"/>
                      <w:sz w:val="24"/>
                      <w:szCs w:val="24"/>
                    </w:rPr>
                    <m:t>j</m:t>
                  </m:r>
                </m:sub>
              </m:sSub>
            </m:oMath>
            <w:r w:rsidR="001255D7" w:rsidRPr="0032600A">
              <w:rPr>
                <w:rFonts w:ascii="Times New Roman" w:hAnsi="Times New Roman"/>
                <w:sz w:val="24"/>
                <w:szCs w:val="24"/>
              </w:rPr>
              <w:t xml:space="preserve">is the teacher </w:t>
            </w:r>
            <w:r w:rsidR="001255D7" w:rsidRPr="0032600A">
              <w:rPr>
                <w:rFonts w:ascii="Times New Roman" w:hAnsi="Times New Roman"/>
                <w:i/>
                <w:iCs/>
                <w:sz w:val="24"/>
                <w:szCs w:val="24"/>
              </w:rPr>
              <w:t>j</w:t>
            </w:r>
            <w:r w:rsidR="001255D7" w:rsidRPr="0032600A">
              <w:rPr>
                <w:rFonts w:ascii="Times New Roman" w:hAnsi="Times New Roman"/>
                <w:sz w:val="24"/>
                <w:szCs w:val="24"/>
              </w:rPr>
              <w:t xml:space="preserve">’s classroom average learning in </w:t>
            </w:r>
            <w:proofErr w:type="gramStart"/>
            <w:r w:rsidR="001255D7" w:rsidRPr="0032600A">
              <w:rPr>
                <w:rFonts w:ascii="Times New Roman" w:hAnsi="Times New Roman"/>
                <w:sz w:val="24"/>
                <w:szCs w:val="24"/>
              </w:rPr>
              <w:t>the Pretest;</w:t>
            </w:r>
            <w:proofErr w:type="gramEnd"/>
            <w:r w:rsidR="001255D7" w:rsidRPr="0032600A">
              <w:rPr>
                <w:rFonts w:ascii="Times New Roman" w:hAnsi="Times New Roman"/>
                <w:sz w:val="24"/>
                <w:szCs w:val="24"/>
              </w:rPr>
              <w:t xml:space="preserve"> </w:t>
            </w:r>
          </w:p>
          <w:p w14:paraId="41DBA6C2"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FRL</m:t>
                  </m:r>
                </m:e>
                <m:sub>
                  <m:r>
                    <w:rPr>
                      <w:rFonts w:ascii="Cambria Math" w:hAnsi="Cambria Math"/>
                      <w:sz w:val="24"/>
                      <w:szCs w:val="24"/>
                    </w:rPr>
                    <m:t>j</m:t>
                  </m:r>
                </m:sub>
              </m:sSub>
            </m:oMath>
            <w:r w:rsidR="001255D7" w:rsidRPr="0032600A">
              <w:rPr>
                <w:rFonts w:ascii="Times New Roman" w:hAnsi="Times New Roman"/>
                <w:sz w:val="24"/>
                <w:szCs w:val="24"/>
              </w:rPr>
              <w:t xml:space="preserve"> is the percent of free and reduced lunch in teacher </w:t>
            </w:r>
            <w:proofErr w:type="gramStart"/>
            <w:r w:rsidR="001255D7" w:rsidRPr="0032600A">
              <w:rPr>
                <w:rFonts w:ascii="Times New Roman" w:hAnsi="Times New Roman"/>
                <w:i/>
                <w:iCs/>
                <w:sz w:val="24"/>
                <w:szCs w:val="24"/>
              </w:rPr>
              <w:t>j</w:t>
            </w:r>
            <w:r w:rsidR="001255D7" w:rsidRPr="0032600A">
              <w:rPr>
                <w:rFonts w:ascii="Times New Roman" w:hAnsi="Times New Roman"/>
                <w:sz w:val="24"/>
                <w:szCs w:val="24"/>
              </w:rPr>
              <w:t>’s school;</w:t>
            </w:r>
            <w:proofErr w:type="gramEnd"/>
            <w:r w:rsidR="001255D7" w:rsidRPr="0032600A">
              <w:rPr>
                <w:rFonts w:ascii="Times New Roman" w:hAnsi="Times New Roman"/>
                <w:sz w:val="24"/>
                <w:szCs w:val="24"/>
              </w:rPr>
              <w:t xml:space="preserve"> </w:t>
            </w:r>
          </w:p>
          <w:p w14:paraId="22992BEE"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GradeBand</m:t>
                  </m:r>
                </m:e>
                <m:sub>
                  <m:r>
                    <w:rPr>
                      <w:rFonts w:ascii="Cambria Math" w:hAnsi="Cambria Math"/>
                      <w:sz w:val="24"/>
                      <w:szCs w:val="24"/>
                    </w:rPr>
                    <m:t>j</m:t>
                  </m:r>
                </m:sub>
              </m:sSub>
            </m:oMath>
            <w:r w:rsidR="001255D7" w:rsidRPr="0032600A">
              <w:rPr>
                <w:rFonts w:ascii="Times New Roman" w:hAnsi="Times New Roman"/>
                <w:sz w:val="24"/>
                <w:szCs w:val="24"/>
              </w:rPr>
              <w:t xml:space="preserve"> is whether teacher </w:t>
            </w:r>
            <w:r w:rsidR="001255D7" w:rsidRPr="0032600A">
              <w:rPr>
                <w:rFonts w:ascii="Times New Roman" w:hAnsi="Times New Roman"/>
                <w:i/>
                <w:iCs/>
                <w:sz w:val="24"/>
                <w:szCs w:val="24"/>
              </w:rPr>
              <w:t>j</w:t>
            </w:r>
            <w:r w:rsidR="001255D7" w:rsidRPr="0032600A">
              <w:rPr>
                <w:rFonts w:ascii="Times New Roman" w:hAnsi="Times New Roman"/>
                <w:sz w:val="24"/>
                <w:szCs w:val="24"/>
              </w:rPr>
              <w:t xml:space="preserve"> is in a high school or middle </w:t>
            </w:r>
            <w:proofErr w:type="gramStart"/>
            <w:r w:rsidR="001255D7" w:rsidRPr="0032600A">
              <w:rPr>
                <w:rFonts w:ascii="Times New Roman" w:hAnsi="Times New Roman"/>
                <w:sz w:val="24"/>
                <w:szCs w:val="24"/>
              </w:rPr>
              <w:t>school;</w:t>
            </w:r>
            <w:proofErr w:type="gramEnd"/>
            <w:r w:rsidR="001255D7" w:rsidRPr="0032600A">
              <w:rPr>
                <w:rFonts w:ascii="Times New Roman" w:hAnsi="Times New Roman"/>
                <w:sz w:val="24"/>
                <w:szCs w:val="24"/>
              </w:rPr>
              <w:t xml:space="preserve"> </w:t>
            </w:r>
          </w:p>
          <w:p w14:paraId="69371FED" w14:textId="77777777" w:rsidR="001255D7" w:rsidRPr="0032600A"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Marginalized</m:t>
                  </m:r>
                </m:e>
                <m:sub>
                  <m:r>
                    <w:rPr>
                      <w:rFonts w:ascii="Cambria Math" w:hAnsi="Cambria Math"/>
                      <w:sz w:val="24"/>
                      <w:szCs w:val="24"/>
                    </w:rPr>
                    <m:t>j</m:t>
                  </m:r>
                </m:sub>
              </m:sSub>
            </m:oMath>
            <w:r w:rsidR="001255D7" w:rsidRPr="0032600A">
              <w:rPr>
                <w:rFonts w:ascii="Times New Roman" w:hAnsi="Times New Roman"/>
                <w:sz w:val="24"/>
                <w:szCs w:val="24"/>
              </w:rPr>
              <w:t xml:space="preserve"> is the percent of marginalized students of color in teacher </w:t>
            </w:r>
            <w:proofErr w:type="gramStart"/>
            <w:r w:rsidR="001255D7" w:rsidRPr="0032600A">
              <w:rPr>
                <w:rFonts w:ascii="Times New Roman" w:hAnsi="Times New Roman"/>
                <w:i/>
                <w:iCs/>
                <w:sz w:val="24"/>
                <w:szCs w:val="24"/>
              </w:rPr>
              <w:t>j</w:t>
            </w:r>
            <w:r w:rsidR="001255D7" w:rsidRPr="0032600A">
              <w:rPr>
                <w:rFonts w:ascii="Times New Roman" w:hAnsi="Times New Roman"/>
                <w:sz w:val="24"/>
                <w:szCs w:val="24"/>
              </w:rPr>
              <w:t>’s school;</w:t>
            </w:r>
            <w:proofErr w:type="gramEnd"/>
          </w:p>
          <w:p w14:paraId="02D0B878" w14:textId="77777777" w:rsidR="001255D7" w:rsidRDefault="009A7DB6" w:rsidP="00E52D07">
            <w:pPr>
              <w:pStyle w:val="NoSpacing"/>
              <w:spacing w:after="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Indicators for Academic Year</m:t>
                  </m:r>
                </m:e>
                <m:sub>
                  <m:r>
                    <w:rPr>
                      <w:rFonts w:ascii="Cambria Math" w:hAnsi="Cambria Math"/>
                      <w:sz w:val="24"/>
                      <w:szCs w:val="24"/>
                    </w:rPr>
                    <m:t>j</m:t>
                  </m:r>
                </m:sub>
              </m:sSub>
            </m:oMath>
            <w:r w:rsidR="001255D7" w:rsidRPr="0032600A">
              <w:rPr>
                <w:rFonts w:ascii="Times New Roman" w:hAnsi="Times New Roman"/>
                <w:sz w:val="24"/>
                <w:szCs w:val="24"/>
              </w:rPr>
              <w:t xml:space="preserve"> includes three dummy variables indic</w:t>
            </w:r>
            <w:proofErr w:type="spellStart"/>
            <w:r w:rsidR="001255D7" w:rsidRPr="0032600A">
              <w:rPr>
                <w:rFonts w:ascii="Times New Roman" w:hAnsi="Times New Roman"/>
                <w:sz w:val="24"/>
                <w:szCs w:val="24"/>
              </w:rPr>
              <w:t>ating</w:t>
            </w:r>
            <w:proofErr w:type="spellEnd"/>
            <w:r w:rsidR="001255D7" w:rsidRPr="0032600A">
              <w:rPr>
                <w:rFonts w:ascii="Times New Roman" w:hAnsi="Times New Roman"/>
                <w:sz w:val="24"/>
                <w:szCs w:val="24"/>
              </w:rPr>
              <w:t xml:space="preserve"> whether this classroom is from 2016</w:t>
            </w:r>
            <w:r w:rsidR="001255D7">
              <w:rPr>
                <w:rFonts w:ascii="Times New Roman" w:hAnsi="Times New Roman"/>
                <w:sz w:val="24"/>
                <w:szCs w:val="24"/>
              </w:rPr>
              <w:t>–20</w:t>
            </w:r>
            <w:r w:rsidR="001255D7" w:rsidRPr="0032600A">
              <w:rPr>
                <w:rFonts w:ascii="Times New Roman" w:hAnsi="Times New Roman"/>
                <w:sz w:val="24"/>
                <w:szCs w:val="24"/>
              </w:rPr>
              <w:t>17, 2017</w:t>
            </w:r>
            <w:r w:rsidR="001255D7">
              <w:rPr>
                <w:rFonts w:ascii="Times New Roman" w:hAnsi="Times New Roman"/>
                <w:sz w:val="24"/>
                <w:szCs w:val="24"/>
              </w:rPr>
              <w:softHyphen/>
              <w:t>–20</w:t>
            </w:r>
            <w:r w:rsidR="001255D7" w:rsidRPr="0032600A">
              <w:rPr>
                <w:rFonts w:ascii="Times New Roman" w:hAnsi="Times New Roman"/>
                <w:sz w:val="24"/>
                <w:szCs w:val="24"/>
              </w:rPr>
              <w:t>18, and 2018</w:t>
            </w:r>
            <w:r w:rsidR="001255D7">
              <w:rPr>
                <w:rFonts w:ascii="Times New Roman" w:hAnsi="Times New Roman"/>
                <w:sz w:val="24"/>
                <w:szCs w:val="24"/>
              </w:rPr>
              <w:softHyphen/>
              <w:t>–</w:t>
            </w:r>
            <w:proofErr w:type="gramStart"/>
            <w:r w:rsidR="001255D7">
              <w:rPr>
                <w:rFonts w:ascii="Times New Roman" w:hAnsi="Times New Roman"/>
                <w:sz w:val="24"/>
                <w:szCs w:val="24"/>
              </w:rPr>
              <w:t>20</w:t>
            </w:r>
            <w:r w:rsidR="001255D7" w:rsidRPr="0032600A">
              <w:rPr>
                <w:rFonts w:ascii="Times New Roman" w:hAnsi="Times New Roman"/>
                <w:sz w:val="24"/>
                <w:szCs w:val="24"/>
              </w:rPr>
              <w:t>19</w:t>
            </w:r>
            <w:r w:rsidR="001255D7">
              <w:rPr>
                <w:rFonts w:ascii="Times New Roman" w:hAnsi="Times New Roman"/>
                <w:sz w:val="24"/>
                <w:szCs w:val="24"/>
              </w:rPr>
              <w:t>;</w:t>
            </w:r>
            <w:proofErr w:type="gramEnd"/>
          </w:p>
          <w:p w14:paraId="1C418041" w14:textId="77777777" w:rsidR="001255D7" w:rsidRPr="009B4161" w:rsidRDefault="009A7DB6" w:rsidP="00E52D07">
            <w:pPr>
              <w:pStyle w:val="NoSpacing"/>
              <w:spacing w:after="60"/>
              <w:rPr>
                <w:rFonts w:ascii="Times New Roman" w:hAnsi="Times New Roman"/>
                <w:i/>
                <w:iCs/>
                <w:sz w:val="24"/>
                <w:szCs w:val="24"/>
              </w:rPr>
            </w:pPr>
            <m:oMath>
              <m:sSub>
                <m:sSubPr>
                  <m:ctrlPr>
                    <w:rPr>
                      <w:rFonts w:ascii="Cambria Math" w:hAnsi="Cambria Math"/>
                      <w:i/>
                      <w:sz w:val="24"/>
                      <w:szCs w:val="24"/>
                    </w:rPr>
                  </m:ctrlPr>
                </m:sSubPr>
                <m:e>
                  <m:r>
                    <w:rPr>
                      <w:rFonts w:ascii="Cambria Math" w:hAnsi="Cambria Math"/>
                      <w:sz w:val="24"/>
                      <w:szCs w:val="24"/>
                    </w:rPr>
                    <m:t>Indicators for Teacher Year</m:t>
                  </m:r>
                </m:e>
                <m:sub>
                  <m:r>
                    <w:rPr>
                      <w:rFonts w:ascii="Cambria Math" w:hAnsi="Cambria Math"/>
                      <w:sz w:val="24"/>
                      <w:szCs w:val="24"/>
                    </w:rPr>
                    <m:t>j</m:t>
                  </m:r>
                </m:sub>
              </m:sSub>
            </m:oMath>
            <w:r w:rsidR="001255D7" w:rsidRPr="0032600A">
              <w:rPr>
                <w:rFonts w:ascii="Times New Roman" w:hAnsi="Times New Roman"/>
                <w:sz w:val="24"/>
                <w:szCs w:val="24"/>
              </w:rPr>
              <w:t xml:space="preserve"> includes three dummy variables indicating whether this year is the teacher’s 2</w:t>
            </w:r>
            <w:proofErr w:type="spellStart"/>
            <w:r w:rsidR="001255D7">
              <w:rPr>
                <w:rFonts w:ascii="Times New Roman" w:hAnsi="Times New Roman"/>
                <w:sz w:val="24"/>
                <w:szCs w:val="24"/>
              </w:rPr>
              <w:t>nd</w:t>
            </w:r>
            <w:proofErr w:type="spellEnd"/>
            <w:r w:rsidR="001255D7" w:rsidRPr="0032600A">
              <w:rPr>
                <w:rFonts w:ascii="Times New Roman" w:hAnsi="Times New Roman"/>
                <w:sz w:val="24"/>
                <w:szCs w:val="24"/>
              </w:rPr>
              <w:t xml:space="preserve"> year, 3</w:t>
            </w:r>
            <w:r w:rsidR="001255D7">
              <w:rPr>
                <w:rFonts w:ascii="Times New Roman" w:hAnsi="Times New Roman"/>
                <w:sz w:val="24"/>
                <w:szCs w:val="24"/>
              </w:rPr>
              <w:t>rd</w:t>
            </w:r>
            <w:r w:rsidR="001255D7" w:rsidRPr="0032600A">
              <w:rPr>
                <w:rFonts w:ascii="Times New Roman" w:hAnsi="Times New Roman"/>
                <w:sz w:val="24"/>
                <w:szCs w:val="24"/>
              </w:rPr>
              <w:t xml:space="preserve"> year, or 4</w:t>
            </w:r>
            <w:r w:rsidR="001255D7">
              <w:rPr>
                <w:rFonts w:ascii="Times New Roman" w:hAnsi="Times New Roman"/>
                <w:sz w:val="24"/>
                <w:szCs w:val="24"/>
              </w:rPr>
              <w:t>th</w:t>
            </w:r>
            <w:r w:rsidR="001255D7" w:rsidRPr="0032600A">
              <w:rPr>
                <w:rFonts w:ascii="Times New Roman" w:hAnsi="Times New Roman"/>
                <w:sz w:val="24"/>
                <w:szCs w:val="24"/>
              </w:rPr>
              <w:t xml:space="preserve"> year of teaching </w:t>
            </w:r>
            <w:r w:rsidR="001255D7" w:rsidRPr="0032600A">
              <w:rPr>
                <w:rFonts w:ascii="Times New Roman" w:hAnsi="Times New Roman"/>
                <w:i/>
                <w:iCs/>
                <w:sz w:val="24"/>
                <w:szCs w:val="24"/>
              </w:rPr>
              <w:t>C</w:t>
            </w:r>
            <w:r w:rsidR="001255D7">
              <w:rPr>
                <w:rFonts w:ascii="Times New Roman" w:hAnsi="Times New Roman"/>
                <w:i/>
                <w:iCs/>
                <w:sz w:val="24"/>
                <w:szCs w:val="24"/>
              </w:rPr>
              <w:t xml:space="preserve">arbon </w:t>
            </w:r>
            <w:r w:rsidR="001255D7" w:rsidRPr="0032600A">
              <w:rPr>
                <w:rFonts w:ascii="Times New Roman" w:hAnsi="Times New Roman"/>
                <w:i/>
                <w:iCs/>
                <w:sz w:val="24"/>
                <w:szCs w:val="24"/>
              </w:rPr>
              <w:t>TIME</w:t>
            </w:r>
            <w:r w:rsidR="001255D7" w:rsidRPr="009B4161">
              <w:rPr>
                <w:rFonts w:ascii="Times New Roman" w:hAnsi="Times New Roman"/>
                <w:sz w:val="24"/>
                <w:szCs w:val="24"/>
              </w:rPr>
              <w:t>.</w:t>
            </w:r>
          </w:p>
        </w:tc>
      </w:tr>
    </w:tbl>
    <w:p w14:paraId="536656F5" w14:textId="77777777" w:rsidR="001255D7" w:rsidRDefault="001255D7" w:rsidP="001255D7"/>
    <w:p w14:paraId="65983F4E" w14:textId="0559A2F2" w:rsidR="00503A50" w:rsidRPr="0032600A" w:rsidRDefault="00503A50" w:rsidP="0067300D">
      <w:pPr>
        <w:pStyle w:val="standard"/>
      </w:pPr>
      <w:r w:rsidRPr="0032600A">
        <w:rPr>
          <w:b/>
        </w:rPr>
        <w:t xml:space="preserve">Within-classroom and between-classroom variation. </w:t>
      </w:r>
      <w:r w:rsidRPr="0032600A">
        <w:t>In the analyses, we started from the unconditional model</w:t>
      </w:r>
      <w:r w:rsidR="006A72E4">
        <w:t xml:space="preserve"> in Table 2</w:t>
      </w:r>
      <w:r w:rsidRPr="0032600A">
        <w:t xml:space="preserve"> to decompose the variation of students’ learning</w:t>
      </w:r>
      <w:r w:rsidR="003221C0">
        <w:t xml:space="preserve"> gains</w:t>
      </w:r>
      <w:r w:rsidRPr="0032600A">
        <w:t xml:space="preserve"> into within-classroom and between-classroom components. The result showed that the intra-class correlation (ICC)</w:t>
      </w:r>
      <w:r>
        <w:rPr>
          <w:rStyle w:val="FootnoteReference"/>
          <w:szCs w:val="24"/>
        </w:rPr>
        <w:footnoteReference w:id="5"/>
      </w:r>
      <w:r w:rsidRPr="0032600A">
        <w:t xml:space="preserve"> was larger than 30%, indicating that 30% of the variation </w:t>
      </w:r>
      <w:r w:rsidR="001C4841">
        <w:t xml:space="preserve">in student learning gain </w:t>
      </w:r>
      <w:r w:rsidRPr="0032600A">
        <w:t xml:space="preserve">was </w:t>
      </w:r>
      <w:r w:rsidRPr="00C729F5">
        <w:rPr>
          <w:i/>
        </w:rPr>
        <w:t>between</w:t>
      </w:r>
      <w:r w:rsidRPr="0032600A">
        <w:t xml:space="preserve"> classrooms. This was a high ICC compared with other education research </w:t>
      </w:r>
      <w:r w:rsidRPr="0032600A">
        <w:lastRenderedPageBreak/>
        <w:t>(</w:t>
      </w:r>
      <w:r w:rsidRPr="0032600A">
        <w:t>Frank</w:t>
      </w:r>
      <w:r w:rsidR="002F5E13">
        <w:t xml:space="preserve">, </w:t>
      </w:r>
      <w:r w:rsidRPr="0032600A">
        <w:t>1998).</w:t>
      </w:r>
      <w:r w:rsidRPr="0032600A">
        <w:rPr>
          <w:rStyle w:val="FootnoteReference"/>
          <w:rFonts w:eastAsiaTheme="majorEastAsia"/>
          <w:szCs w:val="24"/>
        </w:rPr>
        <w:footnoteReference w:id="6"/>
      </w:r>
      <w:r w:rsidRPr="0032600A">
        <w:t xml:space="preserve"> </w:t>
      </w:r>
      <w:r w:rsidR="008C6CE7">
        <w:t xml:space="preserve">Ultimately, </w:t>
      </w:r>
      <w:r w:rsidRPr="0032600A">
        <w:t xml:space="preserve">we fit </w:t>
      </w:r>
      <w:r w:rsidR="008C6CE7">
        <w:t xml:space="preserve">a full </w:t>
      </w:r>
      <w:r w:rsidRPr="0032600A">
        <w:t>model (Model 1</w:t>
      </w:r>
      <w:r w:rsidR="00206256">
        <w:t xml:space="preserve"> in Table 2</w:t>
      </w:r>
      <w:r w:rsidRPr="0032600A">
        <w:t>) with all the related variables of interest to study what factors help explain how much</w:t>
      </w:r>
      <w:r w:rsidR="003F59DC">
        <w:t xml:space="preserve"> different</w:t>
      </w:r>
      <w:r w:rsidRPr="0032600A">
        <w:t xml:space="preserve"> students learned fro</w:t>
      </w:r>
      <w:r w:rsidR="008E58FA">
        <w:t xml:space="preserve">m </w:t>
      </w:r>
      <w:r w:rsidRPr="0032600A">
        <w:rPr>
          <w:i/>
        </w:rPr>
        <w:t>Carbon TIME</w:t>
      </w:r>
      <w:r w:rsidRPr="0032600A">
        <w:t>.</w:t>
      </w:r>
      <w:r w:rsidRPr="0032600A">
        <w:t xml:space="preserve"> These predictors were from both the student level (level 1) and classroom level (level 2). </w:t>
      </w:r>
    </w:p>
    <w:p w14:paraId="1CC180BC" w14:textId="55C62359" w:rsidR="00503A50" w:rsidRDefault="00503A50" w:rsidP="0067300D">
      <w:pPr>
        <w:pStyle w:val="standard"/>
      </w:pPr>
      <w:r w:rsidRPr="0032600A">
        <w:rPr>
          <w:b/>
        </w:rPr>
        <w:t xml:space="preserve">Students’ pretests as predictors. </w:t>
      </w:r>
      <w:r w:rsidRPr="0032600A">
        <w:t xml:space="preserve">At the student level, we </w:t>
      </w:r>
      <w:r w:rsidR="00C47C65">
        <w:t>included</w:t>
      </w:r>
      <w:r w:rsidRPr="0032600A">
        <w:t xml:space="preserve"> the predictor </w:t>
      </w:r>
      <m:oMath>
        <m:d>
          <m:dPr>
            <m:ctrlPr>
              <w:rPr>
                <w:rFonts w:ascii="Cambria Math" w:hAnsi="Cambria Math"/>
              </w:rPr>
            </m:ctrlPr>
          </m:dPr>
          <m:e>
            <m:sSub>
              <m:sSubPr>
                <m:ctrlPr>
                  <w:rPr>
                    <w:rFonts w:ascii="Cambria Math" w:hAnsi="Cambria Math"/>
                  </w:rPr>
                </m:ctrlPr>
              </m:sSubPr>
              <m:e>
                <m:r>
                  <m:rPr>
                    <m:nor/>
                  </m:rPr>
                  <m:t>Pretest</m:t>
                </m:r>
              </m:e>
              <m:sub>
                <m:r>
                  <m:rPr>
                    <m:nor/>
                  </m:rPr>
                  <m:t>ij</m:t>
                </m:r>
              </m:sub>
            </m:sSub>
            <m:r>
              <m:rPr>
                <m:nor/>
              </m:rPr>
              <m:t>-</m:t>
            </m:r>
            <m:sSub>
              <m:sSubPr>
                <m:ctrlPr>
                  <w:rPr>
                    <w:rFonts w:ascii="Cambria Math" w:hAnsi="Cambria Math"/>
                  </w:rPr>
                </m:ctrlPr>
              </m:sSubPr>
              <m:e>
                <m:acc>
                  <m:accPr>
                    <m:chr m:val="̅"/>
                    <m:ctrlPr>
                      <w:rPr>
                        <w:rFonts w:ascii="Cambria Math" w:hAnsi="Cambria Math"/>
                      </w:rPr>
                    </m:ctrlPr>
                  </m:accPr>
                  <m:e>
                    <m:r>
                      <m:rPr>
                        <m:nor/>
                      </m:rPr>
                      <m:t>Pretest</m:t>
                    </m:r>
                  </m:e>
                </m:acc>
              </m:e>
              <m:sub>
                <m:r>
                  <m:rPr>
                    <m:nor/>
                  </m:rPr>
                  <m:t>j</m:t>
                </m:r>
              </m:sub>
            </m:sSub>
          </m:e>
        </m:d>
      </m:oMath>
      <w:r w:rsidRPr="0032600A">
        <w:t xml:space="preserve"> that measured how far a student’s pretest deviated from </w:t>
      </w:r>
      <w:r w:rsidR="006E21E8">
        <w:t>her</w:t>
      </w:r>
      <w:r w:rsidRPr="0032600A">
        <w:t xml:space="preserve"> classroom</w:t>
      </w:r>
      <w:r w:rsidR="006E21E8">
        <w:t>’s</w:t>
      </w:r>
      <w:r w:rsidRPr="0032600A">
        <w:t xml:space="preserve"> average pretest</w:t>
      </w:r>
      <w:r w:rsidR="00A717D1">
        <w:t xml:space="preserve"> score</w:t>
      </w:r>
      <w:r w:rsidRPr="0032600A">
        <w:t xml:space="preserve">. For example, if </w:t>
      </w:r>
      <w:r w:rsidR="008C6CE7">
        <w:t xml:space="preserve">Adrienne </w:t>
      </w:r>
      <w:r w:rsidRPr="0032600A">
        <w:t xml:space="preserve">had a pretest of 0.68 and </w:t>
      </w:r>
      <w:r w:rsidR="00D51FA3">
        <w:t>h</w:t>
      </w:r>
      <w:r w:rsidR="003A36D6">
        <w:t>er</w:t>
      </w:r>
      <w:r w:rsidR="00D51FA3">
        <w:t xml:space="preserve"> classroom’s </w:t>
      </w:r>
      <w:r w:rsidRPr="0032600A">
        <w:t xml:space="preserve">average pretest was 0.5, then, the value </w:t>
      </w:r>
      <w:r w:rsidR="00D51FA3">
        <w:t>of h</w:t>
      </w:r>
      <w:r w:rsidR="003A36D6">
        <w:t>er</w:t>
      </w:r>
      <w:r w:rsidRPr="0032600A">
        <w:t xml:space="preserve"> predictor </w:t>
      </w:r>
      <w:r w:rsidR="00560B05">
        <w:t>would be</w:t>
      </w:r>
      <w:r w:rsidRPr="0032600A">
        <w:t xml:space="preserve"> 0.18 (0.68</w:t>
      </w:r>
      <w:r w:rsidR="00654347">
        <w:t xml:space="preserve"> </w:t>
      </w:r>
      <w:r w:rsidRPr="0032600A">
        <w:t>-</w:t>
      </w:r>
      <w:r w:rsidR="00654347">
        <w:t xml:space="preserve"> </w:t>
      </w:r>
      <w:r w:rsidRPr="0032600A">
        <w:t>0.5</w:t>
      </w:r>
      <w:r w:rsidR="00654347">
        <w:t xml:space="preserve"> </w:t>
      </w:r>
      <w:r w:rsidR="003A36D6">
        <w:t>=</w:t>
      </w:r>
      <w:r w:rsidR="00654347">
        <w:t xml:space="preserve"> 0</w:t>
      </w:r>
      <w:r w:rsidR="003A36D6">
        <w:t>.18</w:t>
      </w:r>
      <w:r w:rsidRPr="0032600A">
        <w:t xml:space="preserve">). </w:t>
      </w:r>
      <w:r w:rsidR="00560B05">
        <w:t>If another student</w:t>
      </w:r>
      <w:r w:rsidRPr="0032600A">
        <w:t xml:space="preserve">, </w:t>
      </w:r>
      <w:r w:rsidR="00560B05">
        <w:t>Elizabeth</w:t>
      </w:r>
      <w:r w:rsidRPr="0032600A">
        <w:t xml:space="preserve">, </w:t>
      </w:r>
      <w:r w:rsidR="005E2B90">
        <w:t>had</w:t>
      </w:r>
      <w:r w:rsidRPr="0032600A">
        <w:t xml:space="preserve"> the same pretest score of 0.68 but </w:t>
      </w:r>
      <w:r w:rsidR="005E2B90">
        <w:t>her classroom’s average pretest was</w:t>
      </w:r>
      <w:r w:rsidRPr="0032600A">
        <w:t xml:space="preserve"> 0.7, </w:t>
      </w:r>
      <w:r w:rsidR="00E65519">
        <w:t xml:space="preserve">then the value of her predictor would be </w:t>
      </w:r>
      <w:r w:rsidR="0029091E">
        <w:t>–</w:t>
      </w:r>
      <w:r w:rsidRPr="0032600A">
        <w:t xml:space="preserve">0.02. The </w:t>
      </w:r>
      <w:r w:rsidR="0029091E">
        <w:t>–</w:t>
      </w:r>
      <w:r w:rsidRPr="0032600A">
        <w:t>0.02 indicate</w:t>
      </w:r>
      <w:r w:rsidR="00BC4F73">
        <w:t>s</w:t>
      </w:r>
      <w:r w:rsidRPr="0032600A">
        <w:t xml:space="preserve"> that </w:t>
      </w:r>
      <w:r w:rsidR="00BC4F73">
        <w:t>Elizabeth is</w:t>
      </w:r>
      <w:r w:rsidRPr="0032600A">
        <w:t xml:space="preserve"> 0.02 logits lower than h</w:t>
      </w:r>
      <w:r w:rsidR="00BC4F73">
        <w:t>er</w:t>
      </w:r>
      <w:r w:rsidRPr="0032600A">
        <w:t xml:space="preserve"> classroom average. At the classroom level (level 2), we </w:t>
      </w:r>
      <w:r w:rsidR="006645A4">
        <w:t>included</w:t>
      </w:r>
      <w:r w:rsidRPr="0032600A">
        <w:t xml:space="preserve"> the average pretest (</w:t>
      </w:r>
      <m:oMath>
        <m:sSub>
          <m:sSubPr>
            <m:ctrlPr>
              <w:rPr>
                <w:rFonts w:ascii="Cambria Math" w:hAnsi="Cambria Math"/>
              </w:rPr>
            </m:ctrlPr>
          </m:sSubPr>
          <m:e>
            <m:acc>
              <m:accPr>
                <m:chr m:val="̅"/>
                <m:ctrlPr>
                  <w:rPr>
                    <w:rFonts w:ascii="Cambria Math" w:hAnsi="Cambria Math"/>
                  </w:rPr>
                </m:ctrlPr>
              </m:accPr>
              <m:e>
                <m:r>
                  <m:rPr>
                    <m:nor/>
                  </m:rPr>
                  <m:t>Pretest</m:t>
                </m:r>
              </m:e>
            </m:acc>
          </m:e>
          <m:sub>
            <m:r>
              <m:rPr>
                <m:nor/>
              </m:rPr>
              <m:t>j</m:t>
            </m:r>
          </m:sub>
        </m:sSub>
      </m:oMath>
      <w:r w:rsidRPr="0032600A">
        <w:t>). In the previous example</w:t>
      </w:r>
      <w:r w:rsidR="006645A4">
        <w:t>s</w:t>
      </w:r>
      <w:r w:rsidRPr="0032600A">
        <w:t xml:space="preserve"> </w:t>
      </w:r>
      <w:r w:rsidR="006645A4">
        <w:t>of</w:t>
      </w:r>
      <w:r w:rsidRPr="0032600A">
        <w:t xml:space="preserve"> students </w:t>
      </w:r>
      <w:r w:rsidR="003A36D6">
        <w:t xml:space="preserve">Adrienne </w:t>
      </w:r>
      <w:r w:rsidRPr="0032600A">
        <w:t xml:space="preserve">and </w:t>
      </w:r>
      <w:r w:rsidR="003E30A1">
        <w:t>Elizabeth</w:t>
      </w:r>
      <w:r w:rsidRPr="0032600A">
        <w:t xml:space="preserve">, their </w:t>
      </w:r>
      <w:r w:rsidR="003E30A1">
        <w:t xml:space="preserve">classroom’s average pretest </w:t>
      </w:r>
      <w:r w:rsidRPr="0032600A">
        <w:t>values were 0.5 and 0.7, respectively.</w:t>
      </w:r>
      <w:r>
        <w:t xml:space="preserve"> Therefore, if </w:t>
      </w:r>
      <w:r w:rsidR="00180EAB">
        <w:t>the coefficient associated with the individual score</w:t>
      </w:r>
      <w:r w:rsidR="00CA2F0E">
        <w:t xml:space="preserve"> (</w:t>
      </w:r>
      <m:oMath>
        <m:sSub>
          <m:sSubPr>
            <m:ctrlPr>
              <w:rPr>
                <w:rFonts w:ascii="Cambria Math" w:hAnsi="Cambria Math"/>
              </w:rPr>
            </m:ctrlPr>
          </m:sSubPr>
          <m:e>
            <m:r>
              <w:rPr>
                <w:rFonts w:ascii="Cambria Math" w:hAnsi="Cambria Math"/>
              </w:rPr>
              <m:t>γ</m:t>
            </m:r>
          </m:e>
          <m:sub>
            <m:r>
              <m:rPr>
                <m:sty m:val="p"/>
              </m:rPr>
              <w:rPr>
                <w:rFonts w:ascii="Cambria Math" w:hAnsi="Cambria Math"/>
              </w:rPr>
              <m:t>10</m:t>
            </m:r>
          </m:sub>
        </m:sSub>
      </m:oMath>
      <w:r w:rsidR="00CA2F0E">
        <w:t>)</w:t>
      </w:r>
      <w:r w:rsidR="00180EAB">
        <w:t xml:space="preserve"> </w:t>
      </w:r>
      <w:r>
        <w:rPr>
          <w:rFonts w:hint="eastAsia"/>
        </w:rPr>
        <w:t>i</w:t>
      </w:r>
      <w:r>
        <w:t xml:space="preserve">s </w:t>
      </w:r>
      <w:r w:rsidR="006F6793">
        <w:t>positive</w:t>
      </w:r>
      <w:r>
        <w:t xml:space="preserve">, that means a student with </w:t>
      </w:r>
      <w:r w:rsidR="006F6793">
        <w:t xml:space="preserve">higher </w:t>
      </w:r>
      <w:r>
        <w:t>pretest relative to the</w:t>
      </w:r>
      <w:r w:rsidR="008E106C">
        <w:t>ir</w:t>
      </w:r>
      <w:r>
        <w:t xml:space="preserve"> classroom mean</w:t>
      </w:r>
      <w:r w:rsidR="005D6747">
        <w:t xml:space="preserve"> (</w:t>
      </w:r>
      <w:r w:rsidR="00F018D8">
        <w:t>0</w:t>
      </w:r>
      <w:r w:rsidR="005D6747">
        <w:t xml:space="preserve">.18 vs </w:t>
      </w:r>
      <w:r w:rsidR="00F018D8">
        <w:t>–0</w:t>
      </w:r>
      <w:r w:rsidR="005D6747">
        <w:t>.02)</w:t>
      </w:r>
      <w:r>
        <w:t xml:space="preserve"> has higher learning gains. If </w:t>
      </w:r>
      <w:r w:rsidR="001679DF">
        <w:t>the coefficient associated with the classroom average score (</w:t>
      </w:r>
      <m:oMath>
        <m:sSub>
          <m:sSubPr>
            <m:ctrlPr>
              <w:rPr>
                <w:rFonts w:ascii="Cambria Math" w:hAnsi="Cambria Math"/>
              </w:rPr>
            </m:ctrlPr>
          </m:sSubPr>
          <m:e>
            <m:r>
              <w:rPr>
                <w:rFonts w:ascii="Cambria Math" w:hAnsi="Cambria Math"/>
              </w:rPr>
              <m:t>γ</m:t>
            </m:r>
          </m:e>
          <m:sub>
            <m:r>
              <m:rPr>
                <m:sty m:val="p"/>
              </m:rPr>
              <w:rPr>
                <w:rFonts w:ascii="Cambria Math" w:hAnsi="Cambria Math"/>
              </w:rPr>
              <m:t>01</m:t>
            </m:r>
          </m:sub>
        </m:sSub>
      </m:oMath>
      <w:r w:rsidR="001679DF">
        <w:rPr>
          <w:rFonts w:hint="eastAsia"/>
        </w:rPr>
        <w:t>)</w:t>
      </w:r>
      <w:r>
        <w:rPr>
          <w:rFonts w:hint="eastAsia"/>
        </w:rPr>
        <w:t xml:space="preserve"> </w:t>
      </w:r>
      <w:r>
        <w:t>is positive, th</w:t>
      </w:r>
      <w:r w:rsidR="004B4477">
        <w:t>is</w:t>
      </w:r>
      <w:r>
        <w:t xml:space="preserve"> means </w:t>
      </w:r>
      <w:r w:rsidR="004B4477">
        <w:t xml:space="preserve">that </w:t>
      </w:r>
      <w:r>
        <w:t>students from classroom</w:t>
      </w:r>
      <w:r w:rsidR="008E106C">
        <w:t>s</w:t>
      </w:r>
      <w:r>
        <w:t xml:space="preserve"> with higher average pretests</w:t>
      </w:r>
      <w:r w:rsidR="00800AEF">
        <w:t xml:space="preserve"> (</w:t>
      </w:r>
      <w:r w:rsidR="00F018D8">
        <w:t>0</w:t>
      </w:r>
      <w:r w:rsidR="00800AEF">
        <w:t xml:space="preserve">.5 vs </w:t>
      </w:r>
      <w:r w:rsidR="00F018D8">
        <w:t>0</w:t>
      </w:r>
      <w:r w:rsidR="00800AEF">
        <w:t>.7)</w:t>
      </w:r>
      <w:r>
        <w:t xml:space="preserve"> have higher learning gains on average. </w:t>
      </w:r>
    </w:p>
    <w:p w14:paraId="46746744" w14:textId="2E94CD06" w:rsidR="00503A50" w:rsidRPr="0032600A" w:rsidRDefault="00503A50" w:rsidP="0067300D">
      <w:pPr>
        <w:pStyle w:val="standard"/>
      </w:pPr>
      <w:r w:rsidRPr="0032600A">
        <w:t xml:space="preserve">It is important to note that these two pretest-related predictors both measured students’ prior knowledge, yet </w:t>
      </w:r>
      <w:r w:rsidR="003157C1">
        <w:t>they are</w:t>
      </w:r>
      <w:r w:rsidRPr="0032600A">
        <w:t xml:space="preserve"> orthogonal to each other. The first predictor, at the student level, measured </w:t>
      </w:r>
      <w:r w:rsidRPr="00836219">
        <w:rPr>
          <w:i/>
        </w:rPr>
        <w:t>within-class</w:t>
      </w:r>
      <w:r w:rsidRPr="0032600A">
        <w:t xml:space="preserve"> variation</w:t>
      </w:r>
      <w:r w:rsidR="00651CC9">
        <w:t>,</w:t>
      </w:r>
      <w:r w:rsidRPr="0032600A">
        <w:t xml:space="preserve"> while the second predictor, at the classroom level, measured </w:t>
      </w:r>
      <w:r w:rsidRPr="00836219">
        <w:rPr>
          <w:i/>
        </w:rPr>
        <w:t>between-class</w:t>
      </w:r>
      <w:r w:rsidRPr="0032600A">
        <w:t xml:space="preserve"> variation. In other words, the</w:t>
      </w:r>
      <w:r w:rsidR="00651CC9">
        <w:t>se predictors</w:t>
      </w:r>
      <w:r w:rsidRPr="0032600A">
        <w:t xml:space="preserve"> represent two independent ways that students’ pretests may be related to their learning outcomes. </w:t>
      </w:r>
      <w:r>
        <w:t>One can think about this as a two-</w:t>
      </w:r>
      <w:r>
        <w:lastRenderedPageBreak/>
        <w:t>step process for estimating a student’s learning gain. First, we estimate</w:t>
      </w:r>
      <w:r w:rsidR="00651CC9">
        <w:t>d</w:t>
      </w:r>
      <w:r>
        <w:t xml:space="preserve"> </w:t>
      </w:r>
      <w:r w:rsidR="00356A92">
        <w:t>students’</w:t>
      </w:r>
      <w:r>
        <w:t xml:space="preserve"> classroom average learning gain</w:t>
      </w:r>
      <w:r w:rsidR="00356A92">
        <w:t>s</w:t>
      </w:r>
      <w:r>
        <w:t>. Second, we estimate</w:t>
      </w:r>
      <w:r w:rsidR="00356A92">
        <w:t>d</w:t>
      </w:r>
      <w:r>
        <w:t xml:space="preserve"> how different </w:t>
      </w:r>
      <w:r w:rsidR="00C16EC5">
        <w:t>any given</w:t>
      </w:r>
      <w:r>
        <w:t xml:space="preserve"> student’s learning gain is from h</w:t>
      </w:r>
      <w:r w:rsidR="00C16EC5">
        <w:t xml:space="preserve">er </w:t>
      </w:r>
      <w:r>
        <w:t xml:space="preserve">classroom average. </w:t>
      </w:r>
      <w:r w:rsidRPr="0032600A">
        <w:t xml:space="preserve">Later, when we quantified the impact of students’ prior knowledge on students’ learning gains, the effects of these two parts were added up to </w:t>
      </w:r>
      <w:r w:rsidR="00C16EC5">
        <w:t>estimate the</w:t>
      </w:r>
      <w:r w:rsidRPr="0032600A">
        <w:t xml:space="preserve"> overall impact</w:t>
      </w:r>
      <w:r w:rsidR="00C16EC5">
        <w:t xml:space="preserve"> of</w:t>
      </w:r>
      <w:r w:rsidRPr="0032600A">
        <w:t xml:space="preserve"> students’ prior knowledge on their learning outcomes. </w:t>
      </w:r>
    </w:p>
    <w:p w14:paraId="7AAA73AA" w14:textId="76CDE53D" w:rsidR="00503A50" w:rsidRPr="0032600A" w:rsidRDefault="00503A50" w:rsidP="0067300D">
      <w:pPr>
        <w:pStyle w:val="standard"/>
      </w:pPr>
      <w:r w:rsidRPr="0032600A">
        <w:rPr>
          <w:b/>
        </w:rPr>
        <w:t xml:space="preserve">School-level predictors. </w:t>
      </w:r>
      <w:r w:rsidR="00B215E1">
        <w:t>T</w:t>
      </w:r>
      <w:r w:rsidRPr="0032600A">
        <w:t>hree school characteristics were analyzed as potentially important predictors at the classroom level (level 2). First was the percentage of students eligible for free and reduced lunch</w:t>
      </w:r>
      <w:r w:rsidR="00536A43">
        <w:t xml:space="preserve"> (FRL)</w:t>
      </w:r>
      <w:r w:rsidR="005D6F7A">
        <w:t xml:space="preserve">. </w:t>
      </w:r>
      <w:r w:rsidRPr="0032600A">
        <w:t>Second was the percentage of marginalized students of color (non-White/Asian</w:t>
      </w:r>
      <w:r w:rsidR="00CB3445">
        <w:t>,</w:t>
      </w:r>
      <w:r w:rsidR="00536A43">
        <w:t xml:space="preserve"> </w:t>
      </w:r>
      <w:r w:rsidR="009A257C">
        <w:t>m</w:t>
      </w:r>
      <w:r w:rsidR="002A6E31">
        <w:t>arginalized</w:t>
      </w:r>
      <w:r w:rsidR="005C1DAE">
        <w:t xml:space="preserve"> students</w:t>
      </w:r>
      <w:r w:rsidR="002A6E31">
        <w:t xml:space="preserve">). </w:t>
      </w:r>
      <w:r w:rsidRPr="0032600A">
        <w:t xml:space="preserve">We used these two </w:t>
      </w:r>
      <w:r w:rsidR="00C845CD">
        <w:t xml:space="preserve">school-level </w:t>
      </w:r>
      <w:r w:rsidRPr="0032600A">
        <w:t xml:space="preserve">predictors as approximate measures for school factors that might impact learning outcomes. Acknowledging the limitations of these measures (Greenberg </w:t>
      </w:r>
      <w:r w:rsidRPr="00FB2758">
        <w:rPr>
          <w:iCs/>
        </w:rPr>
        <w:t>et al.</w:t>
      </w:r>
      <w:r w:rsidRPr="0032600A">
        <w:t>, 2019), they were nevertheless the best measures we had to estimate school</w:t>
      </w:r>
      <w:r>
        <w:t xml:space="preserve"> </w:t>
      </w:r>
      <w:r w:rsidR="00420FA8">
        <w:t>demographic</w:t>
      </w:r>
      <w:r w:rsidRPr="0032600A">
        <w:t xml:space="preserve"> factors. Previous studies </w:t>
      </w:r>
      <w:r w:rsidR="002A6E31">
        <w:t>have shown</w:t>
      </w:r>
      <w:r w:rsidR="00141E29">
        <w:t xml:space="preserve"> </w:t>
      </w:r>
      <w:r w:rsidRPr="0032600A">
        <w:t>that the percent of free and reduced lunch can be a proxy measure for material, social, and human material resources such as</w:t>
      </w:r>
      <w:r w:rsidR="00030CA8">
        <w:t xml:space="preserve"> overall school funding (</w:t>
      </w:r>
      <w:proofErr w:type="spellStart"/>
      <w:r w:rsidR="00030CA8">
        <w:t>EdBuild</w:t>
      </w:r>
      <w:proofErr w:type="spellEnd"/>
      <w:r w:rsidR="00030CA8">
        <w:t>, 2019),</w:t>
      </w:r>
      <w:r w:rsidRPr="0032600A">
        <w:t xml:space="preserve"> students’ access to qualified and experienced teachers (Darling-Hammond, 2004; Rice, 2010) and the overall quality of conditions in which teachers work (Johnson</w:t>
      </w:r>
      <w:r w:rsidRPr="0024061A">
        <w:t xml:space="preserve"> et al., </w:t>
      </w:r>
      <w:r w:rsidRPr="0032600A">
        <w:t xml:space="preserve">2012). </w:t>
      </w:r>
      <w:r>
        <w:t>Therefore, if</w:t>
      </w:r>
      <w:r w:rsidR="005B4FE5">
        <w:t xml:space="preserve"> the coefficient of percent of free and reduced lunch</w:t>
      </w:r>
      <w:r>
        <w:t xml:space="preserve"> </w:t>
      </w:r>
      <w:r w:rsidR="005B4FE5">
        <w:t>(</w:t>
      </w:r>
      <m:oMath>
        <m:sSub>
          <m:sSubPr>
            <m:ctrlPr>
              <w:rPr>
                <w:rFonts w:ascii="Cambria Math" w:hAnsi="Cambria Math"/>
              </w:rPr>
            </m:ctrlPr>
          </m:sSubPr>
          <m:e>
            <m:r>
              <w:rPr>
                <w:rFonts w:ascii="Cambria Math" w:hAnsi="Cambria Math"/>
              </w:rPr>
              <m:t>γ</m:t>
            </m:r>
          </m:e>
          <m:sub>
            <m:r>
              <m:rPr>
                <m:sty m:val="p"/>
              </m:rPr>
              <w:rPr>
                <w:rFonts w:ascii="Cambria Math" w:hAnsi="Cambria Math"/>
              </w:rPr>
              <m:t>02</m:t>
            </m:r>
          </m:sub>
        </m:sSub>
      </m:oMath>
      <w:r w:rsidR="005B4FE5">
        <w:rPr>
          <w:rFonts w:hint="eastAsia"/>
        </w:rPr>
        <w:t>)</w:t>
      </w:r>
      <w:r>
        <w:rPr>
          <w:rFonts w:hint="eastAsia"/>
        </w:rPr>
        <w:t xml:space="preserve"> </w:t>
      </w:r>
      <w:r>
        <w:t>and</w:t>
      </w:r>
      <w:r w:rsidR="005B4FE5">
        <w:t xml:space="preserve"> the coefficient of percent of marginalized students of color (</w:t>
      </w:r>
      <m:oMath>
        <m:sSub>
          <m:sSubPr>
            <m:ctrlPr>
              <w:rPr>
                <w:rFonts w:ascii="Cambria Math" w:hAnsi="Cambria Math"/>
              </w:rPr>
            </m:ctrlPr>
          </m:sSubPr>
          <m:e>
            <m:r>
              <w:rPr>
                <w:rFonts w:ascii="Cambria Math" w:hAnsi="Cambria Math"/>
              </w:rPr>
              <m:t>γ</m:t>
            </m:r>
          </m:e>
          <m:sub>
            <m:r>
              <m:rPr>
                <m:sty m:val="p"/>
              </m:rPr>
              <w:rPr>
                <w:rFonts w:ascii="Cambria Math" w:hAnsi="Cambria Math"/>
              </w:rPr>
              <m:t>04</m:t>
            </m:r>
          </m:sub>
        </m:sSub>
      </m:oMath>
      <w:r w:rsidR="005B4FE5">
        <w:rPr>
          <w:rFonts w:hint="eastAsia"/>
        </w:rPr>
        <w:t>)</w:t>
      </w:r>
      <w:r>
        <w:rPr>
          <w:rFonts w:hint="eastAsia"/>
        </w:rPr>
        <w:t xml:space="preserve"> </w:t>
      </w:r>
      <w:r>
        <w:t xml:space="preserve">in Model 1 are </w:t>
      </w:r>
      <w:r w:rsidR="000B59A8">
        <w:t>negative</w:t>
      </w:r>
      <w:r>
        <w:t xml:space="preserve">, that means students from schools with more resources have higher learning gains.  </w:t>
      </w:r>
    </w:p>
    <w:p w14:paraId="78244A66" w14:textId="5ACCDA61" w:rsidR="00503A50" w:rsidRPr="0032600A" w:rsidRDefault="00503A50" w:rsidP="0067300D">
      <w:pPr>
        <w:pStyle w:val="standard"/>
      </w:pPr>
      <w:r w:rsidRPr="0032600A">
        <w:t>A</w:t>
      </w:r>
      <w:r w:rsidR="0076266C">
        <w:t xml:space="preserve"> third</w:t>
      </w:r>
      <w:r w:rsidRPr="0032600A">
        <w:t xml:space="preserve"> predictor at level 2 was whether the school was a high school or middle school (</w:t>
      </w:r>
      <w:proofErr w:type="spellStart"/>
      <w:r w:rsidR="00832814">
        <w:t>GradeBand</w:t>
      </w:r>
      <w:proofErr w:type="spellEnd"/>
      <w:r w:rsidRPr="0032600A">
        <w:t xml:space="preserve">). The results of Model 1 showed that grade band was not significantly related to students’ learning gains when students’ prior knowledge was </w:t>
      </w:r>
      <w:r w:rsidR="00F15997">
        <w:t>included in the model</w:t>
      </w:r>
      <w:r w:rsidRPr="0032600A">
        <w:t xml:space="preserve">. We therefore used a more parsimonious model (Model 2) to analyze how the other predictors </w:t>
      </w:r>
      <w:r w:rsidRPr="0032600A">
        <w:lastRenderedPageBreak/>
        <w:t>affected students’ learning. The Q-Q Plot of the level-2 residuals showed that the residuals fall along a roughly straight line at a 45-degree angle, indicating that the residuals are roughly normally distributed</w:t>
      </w:r>
      <w:r w:rsidR="00F15997">
        <w:t>, supporting parametric assumptions for making inferences</w:t>
      </w:r>
    </w:p>
    <w:p w14:paraId="23471ED2" w14:textId="7FE2AB7A" w:rsidR="00503A50" w:rsidRPr="0032600A" w:rsidRDefault="00503A50" w:rsidP="0067300D">
      <w:pPr>
        <w:pStyle w:val="standard"/>
      </w:pPr>
      <w:r w:rsidRPr="0032600A">
        <w:rPr>
          <w:b/>
        </w:rPr>
        <w:t xml:space="preserve">Cross-year comparisons. </w:t>
      </w:r>
      <w:r w:rsidRPr="0032600A">
        <w:t xml:space="preserve">We first used Models 1 and 2 to study each year’s data separately; each year’s data generated consistent and similar findings. Therefore, we combined all four </w:t>
      </w:r>
      <w:proofErr w:type="gramStart"/>
      <w:r w:rsidRPr="0032600A">
        <w:t>years’</w:t>
      </w:r>
      <w:proofErr w:type="gramEnd"/>
      <w:r w:rsidRPr="0032600A">
        <w:t xml:space="preserve"> </w:t>
      </w:r>
      <w:r w:rsidR="0032075C">
        <w:t xml:space="preserve">of </w:t>
      </w:r>
      <w:r w:rsidRPr="0032600A">
        <w:t>data and applied Models 3 and 4, where we added predictors that indicated the academic year (Model 3), or how many years the teacher had taught</w:t>
      </w:r>
      <w:r w:rsidR="008E58FA">
        <w:t xml:space="preserve"> </w:t>
      </w:r>
      <w:r w:rsidRPr="0032600A">
        <w:rPr>
          <w:i/>
        </w:rPr>
        <w:t>Carbon TIME</w:t>
      </w:r>
      <w:r w:rsidR="008E58FA">
        <w:t xml:space="preserve"> </w:t>
      </w:r>
      <w:r w:rsidRPr="0032600A">
        <w:t xml:space="preserve">(Model 4). </w:t>
      </w:r>
    </w:p>
    <w:p w14:paraId="7A762A30" w14:textId="6AED053E" w:rsidR="00503A50" w:rsidRPr="0032600A" w:rsidRDefault="00503A50" w:rsidP="0067300D">
      <w:pPr>
        <w:pStyle w:val="standard"/>
      </w:pPr>
      <w:r w:rsidRPr="0032600A">
        <w:t>Indicators for academic years in Model 3 helped us analyze the improvement in</w:t>
      </w:r>
      <w:r w:rsidR="008E58FA">
        <w:t xml:space="preserve"> </w:t>
      </w:r>
      <w:r w:rsidRPr="0032600A">
        <w:rPr>
          <w:i/>
        </w:rPr>
        <w:t>Carbon TIME</w:t>
      </w:r>
      <w:r w:rsidRPr="0032600A">
        <w:rPr>
          <w:i/>
        </w:rPr>
        <w:t xml:space="preserve"> </w:t>
      </w:r>
      <w:r w:rsidRPr="0032600A">
        <w:t>as a design-based implementation research (DBIR) project. Over the four-year period, improvements in professional development, curriculum and assessment, and teacher network support were implemented based on feedback from teachers and students</w:t>
      </w:r>
      <w:r w:rsidR="000C5C85">
        <w:t xml:space="preserve"> (</w:t>
      </w:r>
      <w:r w:rsidR="00B4231C">
        <w:t>Anderson et al.,</w:t>
      </w:r>
      <w:r w:rsidR="00B4231C">
        <w:t xml:space="preserve"> 2018</w:t>
      </w:r>
      <w:r w:rsidR="000C5C85">
        <w:t>)</w:t>
      </w:r>
      <w:r w:rsidRPr="0032600A">
        <w:t>. Model 3 allowed us to see if there was any evidence for increase in students’ learning gains over the four-year period. Rather than assuming a linear trend in students’ growth, we used three binary variables to compare 2016–</w:t>
      </w:r>
      <w:r w:rsidR="0024061A">
        <w:t>20</w:t>
      </w:r>
      <w:r w:rsidRPr="0032600A">
        <w:t>17, 2017–</w:t>
      </w:r>
      <w:r w:rsidR="0024061A">
        <w:t>20</w:t>
      </w:r>
      <w:r w:rsidRPr="0032600A">
        <w:t>18, and 2018–</w:t>
      </w:r>
      <w:r w:rsidR="0024061A">
        <w:t>20</w:t>
      </w:r>
      <w:r w:rsidRPr="0032600A">
        <w:t>19, with the first year 2015–</w:t>
      </w:r>
      <w:r w:rsidR="0024061A">
        <w:t>20</w:t>
      </w:r>
      <w:r w:rsidRPr="0032600A">
        <w:t xml:space="preserve">16. </w:t>
      </w:r>
    </w:p>
    <w:p w14:paraId="223D73B8" w14:textId="6331B1B0" w:rsidR="00503A50" w:rsidRDefault="00503A50" w:rsidP="0067300D">
      <w:pPr>
        <w:pStyle w:val="standard"/>
      </w:pPr>
      <w:r w:rsidRPr="0032600A">
        <w:t>Similarly, in Model 4, we added three binary variables to capture how many years the teacher had taught</w:t>
      </w:r>
      <w:r w:rsidR="008E58FA">
        <w:t xml:space="preserve"> </w:t>
      </w:r>
      <w:r w:rsidRPr="0032600A">
        <w:rPr>
          <w:i/>
        </w:rPr>
        <w:t>Carbon TIME</w:t>
      </w:r>
      <w:r w:rsidRPr="0032600A">
        <w:t>.</w:t>
      </w:r>
      <w:r w:rsidRPr="0032600A">
        <w:t xml:space="preserve"> T</w:t>
      </w:r>
      <w:r w:rsidR="0093297D">
        <w:t>he t</w:t>
      </w:r>
      <w:r w:rsidRPr="0032600A">
        <w:t>hree</w:t>
      </w:r>
      <w:r w:rsidR="0093297D">
        <w:t xml:space="preserve"> added</w:t>
      </w:r>
      <w:r w:rsidRPr="0032600A">
        <w:t xml:space="preserve"> binary variables indicated whe</w:t>
      </w:r>
      <w:r w:rsidR="0032075C">
        <w:t xml:space="preserve">ther </w:t>
      </w:r>
      <w:r w:rsidR="00AD1CDC">
        <w:t>a teacher was in her</w:t>
      </w:r>
      <w:r w:rsidRPr="0032600A">
        <w:t xml:space="preserve"> </w:t>
      </w:r>
      <w:r>
        <w:t>second</w:t>
      </w:r>
      <w:r w:rsidRPr="0032600A">
        <w:t xml:space="preserve">, </w:t>
      </w:r>
      <w:r>
        <w:t>third</w:t>
      </w:r>
      <w:r w:rsidRPr="0032600A">
        <w:t xml:space="preserve">, or </w:t>
      </w:r>
      <w:r>
        <w:t>fourth</w:t>
      </w:r>
      <w:r w:rsidRPr="0032600A">
        <w:t xml:space="preserve"> year of teaching</w:t>
      </w:r>
      <w:r w:rsidR="008E58FA">
        <w:t xml:space="preserve"> </w:t>
      </w:r>
      <w:r w:rsidRPr="0032600A">
        <w:rPr>
          <w:i/>
        </w:rPr>
        <w:t>Carbon TIME</w:t>
      </w:r>
      <w:r w:rsidRPr="0032600A">
        <w:t>.</w:t>
      </w:r>
      <w:r w:rsidRPr="0032600A">
        <w:t xml:space="preserve"> That is, the reference group was the first year of teaching </w:t>
      </w:r>
      <w:r w:rsidRPr="0032600A">
        <w:rPr>
          <w:i/>
        </w:rPr>
        <w:t>Carbon TIME.</w:t>
      </w:r>
      <w:r w:rsidRPr="0032600A">
        <w:rPr>
          <w:i/>
        </w:rPr>
        <w:t xml:space="preserve"> </w:t>
      </w:r>
      <w:r w:rsidRPr="0032600A">
        <w:t xml:space="preserve">The coefficients of these indicators allow us to tell </w:t>
      </w:r>
      <w:r w:rsidR="00F467B6">
        <w:t>how</w:t>
      </w:r>
      <w:r w:rsidR="00F467B6" w:rsidRPr="0032600A">
        <w:t xml:space="preserve"> </w:t>
      </w:r>
      <w:r w:rsidRPr="0032600A">
        <w:t>years of</w:t>
      </w:r>
      <w:r>
        <w:t xml:space="preserve"> </w:t>
      </w:r>
      <w:r w:rsidR="00F467B6">
        <w:t>experience</w:t>
      </w:r>
      <w:r w:rsidRPr="0032600A">
        <w:t xml:space="preserve"> teaching </w:t>
      </w:r>
      <w:r w:rsidRPr="0032600A">
        <w:rPr>
          <w:i/>
        </w:rPr>
        <w:t>Carbon TIME</w:t>
      </w:r>
      <w:r w:rsidRPr="0032600A">
        <w:rPr>
          <w:i/>
        </w:rPr>
        <w:t xml:space="preserve"> </w:t>
      </w:r>
      <w:r w:rsidR="00FD5F53">
        <w:t>were</w:t>
      </w:r>
      <w:r w:rsidR="00FD5F53" w:rsidRPr="0032600A">
        <w:t xml:space="preserve"> </w:t>
      </w:r>
      <w:r w:rsidRPr="0032600A">
        <w:t xml:space="preserve">associated with student learning gains. </w:t>
      </w:r>
    </w:p>
    <w:p w14:paraId="36EADF63" w14:textId="0402F9D0" w:rsidR="00A940E3" w:rsidRPr="00B9441E" w:rsidRDefault="00EB5F95" w:rsidP="00B100A0">
      <w:pPr>
        <w:pStyle w:val="Heading3"/>
      </w:pPr>
      <w:bookmarkStart w:id="34" w:name="_Toc67662793"/>
      <w:bookmarkStart w:id="35" w:name="_Toc71207816"/>
      <w:r>
        <w:t xml:space="preserve">Sensitivity and </w:t>
      </w:r>
      <w:r w:rsidR="00A940E3" w:rsidRPr="00B9441E">
        <w:t>Robustness Analysis</w:t>
      </w:r>
      <w:bookmarkEnd w:id="34"/>
      <w:bookmarkEnd w:id="35"/>
      <w:r w:rsidR="00A940E3" w:rsidRPr="00B9441E">
        <w:t xml:space="preserve"> </w:t>
      </w:r>
    </w:p>
    <w:p w14:paraId="1FD2E65F" w14:textId="2A199E86" w:rsidR="00503A50" w:rsidRPr="003E1D89" w:rsidRDefault="00FC5EB9" w:rsidP="00EF031C">
      <w:pPr>
        <w:pStyle w:val="standard"/>
      </w:pPr>
      <w:r>
        <w:t>To evaluate how sensitive our conclusions are to our data selection procedure</w:t>
      </w:r>
      <w:r w:rsidR="00EB5F95">
        <w:t xml:space="preserve">, we </w:t>
      </w:r>
      <w:r w:rsidR="00526DD8">
        <w:t xml:space="preserve">report how estimates and inference were affected </w:t>
      </w:r>
      <w:r w:rsidR="00EF031C">
        <w:t xml:space="preserve">in each step of the procedure (see supplementary </w:t>
      </w:r>
      <w:r w:rsidR="00EF031C">
        <w:lastRenderedPageBreak/>
        <w:t xml:space="preserve">materials). </w:t>
      </w:r>
      <w:r w:rsidR="007C273B">
        <w:t xml:space="preserve">We </w:t>
      </w:r>
      <w:r w:rsidR="00EF031C">
        <w:t xml:space="preserve">also </w:t>
      </w:r>
      <w:r w:rsidR="007C273B">
        <w:t xml:space="preserve">recognize that our estimates may be biased because </w:t>
      </w:r>
      <w:r w:rsidR="003432CF">
        <w:t>teachers (and indirectly their students) self-selected into the</w:t>
      </w:r>
      <w:r w:rsidR="008D7AA4">
        <w:t xml:space="preserve"> </w:t>
      </w:r>
      <w:r w:rsidR="003432CF" w:rsidRPr="006C3797">
        <w:rPr>
          <w:i/>
          <w:iCs/>
        </w:rPr>
        <w:t>Carbon Time</w:t>
      </w:r>
      <w:r w:rsidR="003432CF">
        <w:t xml:space="preserve"> curriculum. </w:t>
      </w:r>
      <w:r w:rsidR="00246266">
        <w:t>T</w:t>
      </w:r>
      <w:r w:rsidR="001A6644">
        <w:t xml:space="preserve">o minimize potential bias, we </w:t>
      </w:r>
      <w:r w:rsidR="00C0766C">
        <w:t>included</w:t>
      </w:r>
      <w:r w:rsidR="001A6644">
        <w:t xml:space="preserve"> </w:t>
      </w:r>
      <w:r w:rsidR="00A940E3">
        <w:t>pretests and other important covariates</w:t>
      </w:r>
      <w:r w:rsidR="001A6644">
        <w:t xml:space="preserve"> in our models</w:t>
      </w:r>
      <w:r w:rsidR="00A940E3">
        <w:t xml:space="preserve">, which </w:t>
      </w:r>
      <w:r w:rsidR="0067470A">
        <w:t>extensive research has shown reduced omitted variable bias by</w:t>
      </w:r>
      <w:r w:rsidR="002A4A8E">
        <w:t xml:space="preserve"> </w:t>
      </w:r>
      <w:r w:rsidR="00A940E3" w:rsidRPr="00523A8E">
        <w:t>60</w:t>
      </w:r>
      <w:r w:rsidR="00C82F81">
        <w:t>–</w:t>
      </w:r>
      <w:r w:rsidR="00A940E3" w:rsidRPr="00523A8E">
        <w:t xml:space="preserve">90% when </w:t>
      </w:r>
      <w:r w:rsidR="00A940E3">
        <w:t xml:space="preserve">comparing with </w:t>
      </w:r>
      <w:r w:rsidR="00246266">
        <w:t xml:space="preserve">the “Gold Standard” of </w:t>
      </w:r>
      <w:r w:rsidR="00A940E3" w:rsidRPr="00523A8E">
        <w:t xml:space="preserve">randomized experiments </w:t>
      </w:r>
      <w:r w:rsidR="00A940E3">
        <w:t>(</w:t>
      </w:r>
      <w:proofErr w:type="spellStart"/>
      <w:r w:rsidR="00A940E3">
        <w:t>Shadish</w:t>
      </w:r>
      <w:proofErr w:type="spellEnd"/>
      <w:r w:rsidR="005E6F5B">
        <w:t xml:space="preserve"> et al.</w:t>
      </w:r>
      <w:r w:rsidR="00A940E3">
        <w:t>, 2008; Wong</w:t>
      </w:r>
      <w:r w:rsidR="005E6F5B">
        <w:t xml:space="preserve"> et al.</w:t>
      </w:r>
      <w:r w:rsidR="00A940E3">
        <w:t>, 2017). Additionally, we conducted robustness analysis to</w:t>
      </w:r>
      <w:r w:rsidR="00A940E3" w:rsidRPr="00B9441E">
        <w:t xml:space="preserve"> evaluate how robust our inference is</w:t>
      </w:r>
      <w:r w:rsidR="000B5C97">
        <w:t xml:space="preserve"> with respect</w:t>
      </w:r>
      <w:r w:rsidR="00A940E3" w:rsidRPr="00B9441E">
        <w:t xml:space="preserve"> to potential bias</w:t>
      </w:r>
      <w:r w:rsidR="00A940E3">
        <w:t xml:space="preserve">, as the </w:t>
      </w:r>
      <w:proofErr w:type="gramStart"/>
      <w:r w:rsidR="00A940E3">
        <w:t>ultimate goal</w:t>
      </w:r>
      <w:proofErr w:type="gramEnd"/>
      <w:r w:rsidR="00A940E3">
        <w:t xml:space="preserve"> of </w:t>
      </w:r>
      <w:r w:rsidR="00583B0D">
        <w:t>DBIR</w:t>
      </w:r>
      <w:r w:rsidR="00A940E3">
        <w:t xml:space="preserve"> research is to inform practical decision making based on inference</w:t>
      </w:r>
      <w:r w:rsidR="00583B0D">
        <w:t>s</w:t>
      </w:r>
      <w:r w:rsidR="00A940E3">
        <w:t xml:space="preserve"> drawn from research</w:t>
      </w:r>
      <w:r w:rsidR="002F2954">
        <w:t xml:space="preserve"> in the field</w:t>
      </w:r>
      <w:r w:rsidR="00A940E3">
        <w:t xml:space="preserve">. Specifically, we discuss how different the sample needs to be or how strong a confounder needs to be to change </w:t>
      </w:r>
      <w:r w:rsidR="002F2954">
        <w:t xml:space="preserve">our </w:t>
      </w:r>
      <w:r w:rsidR="00A940E3">
        <w:t>inference</w:t>
      </w:r>
      <w:r w:rsidR="002F2954">
        <w:t>s</w:t>
      </w:r>
      <w:r w:rsidR="00A940E3">
        <w:t xml:space="preserve"> (</w:t>
      </w:r>
      <w:r w:rsidR="00A940E3">
        <w:t>Frank</w:t>
      </w:r>
      <w:r w:rsidR="00A940E3">
        <w:t xml:space="preserve">, 2000; </w:t>
      </w:r>
      <w:r w:rsidR="00A940E3">
        <w:t xml:space="preserve">Frank </w:t>
      </w:r>
      <w:r w:rsidR="00A940E3" w:rsidRPr="00EB458C">
        <w:rPr>
          <w:iCs/>
        </w:rPr>
        <w:t>et al.,</w:t>
      </w:r>
      <w:r w:rsidR="00A940E3">
        <w:t xml:space="preserve"> 2013).</w:t>
      </w:r>
      <w:r w:rsidR="00AA09EF">
        <w:t xml:space="preserve"> </w:t>
      </w:r>
      <w:r w:rsidR="00715E56">
        <w:t>The results of</w:t>
      </w:r>
      <w:r w:rsidR="00AA09EF">
        <w:t xml:space="preserve"> our robustness checks </w:t>
      </w:r>
      <w:r w:rsidR="00715E56">
        <w:t>are included in the Findings section, below.</w:t>
      </w:r>
      <w:r w:rsidR="00AA09EF">
        <w:t xml:space="preserve"> </w:t>
      </w:r>
    </w:p>
    <w:p w14:paraId="1B6AFB8C" w14:textId="15195D5F" w:rsidR="00B0132B" w:rsidRPr="004D3104" w:rsidRDefault="00B0132B" w:rsidP="004D3104">
      <w:pPr>
        <w:pStyle w:val="Heading1"/>
      </w:pPr>
      <w:bookmarkStart w:id="36" w:name="_Toc67662794"/>
      <w:bookmarkStart w:id="37" w:name="_Toc71207817"/>
      <w:r w:rsidRPr="004D3104">
        <w:t>Findings</w:t>
      </w:r>
      <w:bookmarkEnd w:id="36"/>
      <w:bookmarkEnd w:id="37"/>
    </w:p>
    <w:p w14:paraId="2019FE51" w14:textId="5DE008C1" w:rsidR="00B0132B" w:rsidRDefault="00B0132B" w:rsidP="009D2C7F">
      <w:pPr>
        <w:spacing w:line="480" w:lineRule="auto"/>
        <w:contextualSpacing/>
        <w:mirrorIndents/>
      </w:pPr>
      <w:r>
        <w:t>We report our f</w:t>
      </w:r>
      <w:r w:rsidRPr="0032600A">
        <w:t xml:space="preserve">indings from the analyses </w:t>
      </w:r>
      <w:r w:rsidR="000B5C97">
        <w:t>for each</w:t>
      </w:r>
      <w:r w:rsidR="000B5C97" w:rsidRPr="0032600A">
        <w:t xml:space="preserve"> </w:t>
      </w:r>
      <w:r w:rsidRPr="0032600A">
        <w:t>research question.</w:t>
      </w:r>
    </w:p>
    <w:p w14:paraId="47953FA8" w14:textId="33E33892" w:rsidR="007020ED" w:rsidRPr="00C70F1C" w:rsidRDefault="00660E9B" w:rsidP="00633259">
      <w:pPr>
        <w:pStyle w:val="Heading2"/>
      </w:pPr>
      <w:bookmarkStart w:id="38" w:name="_Toc67662795"/>
      <w:bookmarkStart w:id="39" w:name="_Toc71207818"/>
      <w:r>
        <w:t xml:space="preserve">Findings </w:t>
      </w:r>
      <w:r w:rsidR="00C70F1C">
        <w:t>About the Effects of the</w:t>
      </w:r>
      <w:r w:rsidR="008D7AA4">
        <w:t xml:space="preserve"> </w:t>
      </w:r>
      <w:r w:rsidR="00C70F1C">
        <w:rPr>
          <w:i/>
          <w:iCs/>
        </w:rPr>
        <w:t xml:space="preserve">Carbon </w:t>
      </w:r>
      <w:proofErr w:type="spellStart"/>
      <w:r w:rsidR="00C70F1C">
        <w:rPr>
          <w:i/>
          <w:iCs/>
        </w:rPr>
        <w:t>TIME</w:t>
      </w:r>
      <w:r w:rsidR="008D7AA4">
        <w:t xml:space="preserve"> </w:t>
      </w:r>
      <w:r w:rsidR="00C70F1C">
        <w:t>Units</w:t>
      </w:r>
      <w:bookmarkEnd w:id="38"/>
      <w:bookmarkEnd w:id="39"/>
    </w:p>
    <w:p w14:paraId="6F3BF898" w14:textId="1CD4D939" w:rsidR="00D43992" w:rsidRPr="007A02C6" w:rsidRDefault="00B0132B" w:rsidP="00633259">
      <w:pPr>
        <w:pStyle w:val="standard"/>
        <w:rPr>
          <w:i/>
        </w:rPr>
      </w:pPr>
      <w:proofErr w:type="spellEnd"/>
      <w:r w:rsidRPr="00633259">
        <w:rPr>
          <w:b/>
        </w:rPr>
        <w:t xml:space="preserve">Finding 1.a. </w:t>
      </w:r>
      <w:r w:rsidR="00D43992" w:rsidRPr="00633259">
        <w:rPr>
          <w:b/>
        </w:rPr>
        <w:t xml:space="preserve">Students </w:t>
      </w:r>
      <w:r w:rsidR="00C94B29" w:rsidRPr="00633259">
        <w:rPr>
          <w:b/>
          <w:bCs/>
        </w:rPr>
        <w:t>studying</w:t>
      </w:r>
      <w:r w:rsidR="008D7AA4">
        <w:rPr>
          <w:b/>
        </w:rPr>
        <w:t xml:space="preserve"> </w:t>
      </w:r>
      <w:r w:rsidR="00D43992" w:rsidRPr="00633259">
        <w:rPr>
          <w:b/>
          <w:i/>
        </w:rPr>
        <w:t>Carbon TIME</w:t>
      </w:r>
      <w:r w:rsidR="008D7AA4">
        <w:rPr>
          <w:b/>
        </w:rPr>
        <w:t xml:space="preserve"> </w:t>
      </w:r>
      <w:r w:rsidR="00C94B29" w:rsidRPr="00633259">
        <w:rPr>
          <w:b/>
          <w:bCs/>
        </w:rPr>
        <w:t xml:space="preserve">units </w:t>
      </w:r>
      <w:r w:rsidR="00D43992" w:rsidRPr="00633259">
        <w:rPr>
          <w:b/>
        </w:rPr>
        <w:t>showed significantly higher achievement than students studying curricula previously used by participating teachers.</w:t>
      </w:r>
      <w:r w:rsidR="00D43992">
        <w:t xml:space="preserve"> </w:t>
      </w:r>
      <w:r w:rsidR="00D43992" w:rsidRPr="007A02C6">
        <w:t xml:space="preserve">The project design compared student </w:t>
      </w:r>
      <w:r w:rsidR="005C2DE9">
        <w:t>end-of-year proficienc</w:t>
      </w:r>
      <w:r w:rsidR="00F2223F">
        <w:t>ies</w:t>
      </w:r>
      <w:r w:rsidR="005C2DE9" w:rsidRPr="007A02C6">
        <w:t xml:space="preserve"> </w:t>
      </w:r>
      <w:r w:rsidR="00D43992" w:rsidRPr="007A02C6">
        <w:t>(</w:t>
      </w:r>
      <w:r w:rsidR="0061339B" w:rsidRPr="007A02C6">
        <w:t>full</w:t>
      </w:r>
      <w:r w:rsidR="00D43992">
        <w:t xml:space="preserve"> </w:t>
      </w:r>
      <w:r w:rsidR="007F266E">
        <w:rPr>
          <w:i/>
          <w:iCs/>
        </w:rPr>
        <w:t>Carbon TIME</w:t>
      </w:r>
      <w:r w:rsidR="00D43992" w:rsidRPr="007A02C6">
        <w:t xml:space="preserve"> </w:t>
      </w:r>
      <w:r w:rsidR="00D43992" w:rsidRPr="007A02C6">
        <w:t>posttest</w:t>
      </w:r>
      <w:r w:rsidR="0061339B" w:rsidRPr="007A02C6">
        <w:t>s</w:t>
      </w:r>
      <w:r w:rsidR="00D43992" w:rsidRPr="007A02C6">
        <w:t xml:space="preserve"> </w:t>
      </w:r>
      <w:r w:rsidR="0061339B" w:rsidRPr="007A02C6">
        <w:t>in Figure 2</w:t>
      </w:r>
      <w:r w:rsidR="00096A3B">
        <w:t>B</w:t>
      </w:r>
      <w:r w:rsidR="00D43992" w:rsidRPr="007A02C6">
        <w:t>) from</w:t>
      </w:r>
      <w:r w:rsidR="00CB5DAA">
        <w:t xml:space="preserve"> </w:t>
      </w:r>
      <w:r w:rsidR="00D43992" w:rsidRPr="00AD747F">
        <w:rPr>
          <w:i/>
        </w:rPr>
        <w:t>Carbon TIME</w:t>
      </w:r>
      <w:r w:rsidR="00CB5DAA">
        <w:t xml:space="preserve"> </w:t>
      </w:r>
      <w:r w:rsidR="00D43992" w:rsidRPr="007A02C6">
        <w:t xml:space="preserve">with student </w:t>
      </w:r>
      <w:r w:rsidR="00A84FFA">
        <w:t>end-of-year proficiencies</w:t>
      </w:r>
      <w:r w:rsidR="00D43992" w:rsidRPr="007A02C6">
        <w:t xml:space="preserve"> from curricula previously used by participating teachers</w:t>
      </w:r>
      <w:r w:rsidR="000B5C97">
        <w:t xml:space="preserve"> </w:t>
      </w:r>
      <w:r w:rsidR="000B5C97" w:rsidRPr="007A02C6">
        <w:t>(</w:t>
      </w:r>
      <w:r w:rsidR="000B5C97">
        <w:t>baseline tests</w:t>
      </w:r>
      <w:r w:rsidR="000B5C97" w:rsidRPr="007A02C6">
        <w:t xml:space="preserve"> in Figure 2</w:t>
      </w:r>
      <w:r w:rsidR="000B5C97">
        <w:t>B</w:t>
      </w:r>
      <w:r w:rsidR="000B5C97" w:rsidRPr="007A02C6">
        <w:t>)</w:t>
      </w:r>
      <w:r w:rsidR="00D43992" w:rsidRPr="007A02C6">
        <w:t xml:space="preserve">, using analytical sample 1 (Table 1). The first part of Table 3 and Figure </w:t>
      </w:r>
      <w:r w:rsidR="0061339B" w:rsidRPr="007A02C6">
        <w:t>3</w:t>
      </w:r>
      <w:r w:rsidR="00D43992" w:rsidRPr="007A02C6">
        <w:t xml:space="preserve">A summarize the comparison results. </w:t>
      </w:r>
      <w:r w:rsidR="001C43AA">
        <w:t xml:space="preserve">In Figure 3A </w:t>
      </w:r>
      <w:r w:rsidR="00CD2A44">
        <w:t>p</w:t>
      </w:r>
      <w:r w:rsidR="00881217">
        <w:t>urple</w:t>
      </w:r>
      <w:r w:rsidR="00D43992" w:rsidRPr="007A02C6">
        <w:t xml:space="preserve"> shows the full posttest distribution for students who studied other curricula, and </w:t>
      </w:r>
      <w:r w:rsidR="00881217">
        <w:t>yellow</w:t>
      </w:r>
      <w:r w:rsidR="00D43992" w:rsidRPr="007A02C6">
        <w:t xml:space="preserve"> shows the distribution for students who studied </w:t>
      </w:r>
      <w:r w:rsidR="00D43992" w:rsidRPr="00CD0BCF">
        <w:rPr>
          <w:i/>
        </w:rPr>
        <w:t>Carbon TIME</w:t>
      </w:r>
      <w:r w:rsidR="00D43992" w:rsidRPr="007A02C6">
        <w:t>.</w:t>
      </w:r>
      <w:r w:rsidR="00D43992" w:rsidRPr="007A02C6">
        <w:t xml:space="preserve"> Students who studied </w:t>
      </w:r>
      <w:r w:rsidR="00D43992" w:rsidRPr="00CD0BCF">
        <w:rPr>
          <w:i/>
        </w:rPr>
        <w:t>Carbon TIME</w:t>
      </w:r>
      <w:r w:rsidR="00D43992" w:rsidRPr="007A02C6">
        <w:t xml:space="preserve"> performed much better on the posttests than students who studied other curricula. The average </w:t>
      </w:r>
      <w:r w:rsidR="00D43992" w:rsidRPr="007A02C6">
        <w:lastRenderedPageBreak/>
        <w:t>difference was 1.</w:t>
      </w:r>
      <w:r w:rsidR="0061339B" w:rsidRPr="007A02C6">
        <w:t>25</w:t>
      </w:r>
      <w:r w:rsidR="00D43992" w:rsidRPr="007A02C6">
        <w:t xml:space="preserve"> logits (effect size = </w:t>
      </w:r>
      <w:r w:rsidR="0061339B" w:rsidRPr="007A02C6">
        <w:t>0.81</w:t>
      </w:r>
      <w:r w:rsidR="00D43992" w:rsidRPr="007A02C6">
        <w:t xml:space="preserve">, </w:t>
      </w:r>
      <w:r w:rsidR="00D43992" w:rsidRPr="005E6F5B">
        <w:rPr>
          <w:i/>
          <w:iCs/>
        </w:rPr>
        <w:t>p</w:t>
      </w:r>
      <w:r w:rsidR="00D43992" w:rsidRPr="007A02C6">
        <w:t xml:space="preserve"> &lt; 0.001).</w:t>
      </w:r>
      <w:r w:rsidR="00C96E50">
        <w:rPr>
          <w:rStyle w:val="FootnoteReference"/>
        </w:rPr>
        <w:footnoteReference w:id="7"/>
      </w:r>
      <w:r w:rsidR="00D43992" w:rsidRPr="007A02C6">
        <w:t xml:space="preserve"> The vertical black lines indicate the cut scores for transitions to learning progression levels 3 and 4. (As explained above, level 4 corresponds to high-school level NGSS performance expectations.) More </w:t>
      </w:r>
      <w:r w:rsidR="00D43992" w:rsidRPr="00CD0BCF">
        <w:rPr>
          <w:i/>
        </w:rPr>
        <w:t>Carbon TIME</w:t>
      </w:r>
      <w:r w:rsidR="00D43992" w:rsidRPr="007A02C6">
        <w:t xml:space="preserve"> </w:t>
      </w:r>
      <w:r w:rsidR="00D43992" w:rsidRPr="007A02C6">
        <w:t>students</w:t>
      </w:r>
      <w:r w:rsidR="00B45CED">
        <w:t xml:space="preserve"> </w:t>
      </w:r>
      <w:r w:rsidR="00D43992" w:rsidRPr="007A02C6">
        <w:t>achieved level 3 and level 4:</w:t>
      </w:r>
    </w:p>
    <w:p w14:paraId="6ABCDEE5" w14:textId="5234B228" w:rsidR="00D43992" w:rsidRPr="0032600A" w:rsidRDefault="00BF3E4A" w:rsidP="00AD747F">
      <w:pPr>
        <w:pStyle w:val="standard"/>
        <w:numPr>
          <w:ilvl w:val="0"/>
          <w:numId w:val="34"/>
        </w:numPr>
      </w:pPr>
      <w:r>
        <w:t>I</w:t>
      </w:r>
      <w:r w:rsidR="00D43992" w:rsidRPr="0032600A">
        <w:t xml:space="preserve">n the </w:t>
      </w:r>
      <w:r w:rsidR="00D43992" w:rsidRPr="0032600A">
        <w:t>non-</w:t>
      </w:r>
      <w:r w:rsidR="00D43992" w:rsidRPr="0032600A">
        <w:rPr>
          <w:i/>
        </w:rPr>
        <w:t xml:space="preserve">Carbon </w:t>
      </w:r>
      <w:proofErr w:type="spellStart"/>
      <w:r w:rsidR="00D43992" w:rsidRPr="0032600A">
        <w:rPr>
          <w:i/>
        </w:rPr>
        <w:t>TIME</w:t>
      </w:r>
      <w:r w:rsidR="00D43992" w:rsidRPr="0032600A">
        <w:t xml:space="preserve"> group, </w:t>
      </w:r>
      <w:r w:rsidR="00D43992" w:rsidRPr="004665B2">
        <w:t>1</w:t>
      </w:r>
      <w:r w:rsidR="004665B2" w:rsidRPr="004665B2">
        <w:t>4</w:t>
      </w:r>
      <w:r w:rsidR="00D43992" w:rsidRPr="004665B2">
        <w:t>%</w:t>
      </w:r>
      <w:proofErr w:type="spellEnd"/>
      <w:r w:rsidR="00D43992" w:rsidRPr="0032600A">
        <w:t xml:space="preserve"> of the students most likely </w:t>
      </w:r>
      <w:r w:rsidR="0076266C">
        <w:t>achieved</w:t>
      </w:r>
      <w:r w:rsidR="0076266C" w:rsidRPr="0032600A">
        <w:t xml:space="preserve"> </w:t>
      </w:r>
      <w:r w:rsidR="00D43992" w:rsidRPr="0032600A">
        <w:t xml:space="preserve">level 3 and </w:t>
      </w:r>
      <w:r w:rsidR="004665B2">
        <w:t>3</w:t>
      </w:r>
      <w:r w:rsidR="00D43992" w:rsidRPr="0032600A">
        <w:t xml:space="preserve">% of students most likely </w:t>
      </w:r>
      <w:r w:rsidR="0076266C">
        <w:t>achieved</w:t>
      </w:r>
      <w:r w:rsidR="0076266C" w:rsidRPr="0032600A">
        <w:t xml:space="preserve"> </w:t>
      </w:r>
      <w:r w:rsidR="00D43992" w:rsidRPr="0032600A">
        <w:t>level 4</w:t>
      </w:r>
      <w:r>
        <w:t>.</w:t>
      </w:r>
    </w:p>
    <w:p w14:paraId="405CA236" w14:textId="4CDBDAB8" w:rsidR="00EE0205" w:rsidRDefault="00BF3E4A" w:rsidP="00EE0205">
      <w:pPr>
        <w:pStyle w:val="standard"/>
        <w:numPr>
          <w:ilvl w:val="0"/>
          <w:numId w:val="34"/>
        </w:numPr>
      </w:pPr>
      <w:r>
        <w:t>I</w:t>
      </w:r>
      <w:r w:rsidR="00D43992" w:rsidRPr="0032600A">
        <w:t>n the</w:t>
      </w:r>
      <w:r w:rsidR="00B45CED">
        <w:t xml:space="preserve"> </w:t>
      </w:r>
      <w:r w:rsidR="00D43992" w:rsidRPr="0032600A">
        <w:rPr>
          <w:i/>
        </w:rPr>
        <w:t>Carbon TIME</w:t>
      </w:r>
      <w:r w:rsidR="00B45CED" w:rsidRPr="000F3BFB">
        <w:t xml:space="preserve"> </w:t>
      </w:r>
      <w:r w:rsidR="00D43992" w:rsidRPr="0032600A">
        <w:t xml:space="preserve">group, </w:t>
      </w:r>
      <w:r w:rsidR="004665B2">
        <w:t>32</w:t>
      </w:r>
      <w:r w:rsidR="00D43992" w:rsidRPr="0032600A">
        <w:t xml:space="preserve">% of the students most likely </w:t>
      </w:r>
      <w:r w:rsidR="0076266C">
        <w:t>achieved</w:t>
      </w:r>
      <w:r w:rsidR="0076266C" w:rsidRPr="0032600A" w:rsidDel="0076266C">
        <w:t xml:space="preserve"> </w:t>
      </w:r>
      <w:r w:rsidR="00D43992" w:rsidRPr="0032600A">
        <w:t xml:space="preserve">level 3 and </w:t>
      </w:r>
      <w:r w:rsidR="004665B2">
        <w:t>24</w:t>
      </w:r>
      <w:r w:rsidR="00D43992" w:rsidRPr="0032600A">
        <w:t>% of students mostly likely</w:t>
      </w:r>
      <w:r w:rsidR="0076266C" w:rsidRPr="0076266C">
        <w:t xml:space="preserve"> </w:t>
      </w:r>
      <w:r w:rsidR="0076266C">
        <w:t>achieved</w:t>
      </w:r>
      <w:r w:rsidR="00D43992" w:rsidRPr="0032600A">
        <w:t xml:space="preserve"> level 4. </w:t>
      </w:r>
    </w:p>
    <w:p w14:paraId="7FFC3BCD" w14:textId="19A7F064" w:rsidR="00EE0205" w:rsidRPr="000F3BFB" w:rsidRDefault="00EE0205" w:rsidP="000F3BFB">
      <w:pPr>
        <w:pStyle w:val="standard"/>
        <w:spacing w:line="240" w:lineRule="auto"/>
        <w:ind w:firstLine="0"/>
        <w:rPr>
          <w:b/>
        </w:rPr>
      </w:pPr>
      <w:r w:rsidRPr="000F3BFB">
        <w:rPr>
          <w:b/>
        </w:rPr>
        <w:t>Table 3</w:t>
      </w:r>
    </w:p>
    <w:p w14:paraId="23782296" w14:textId="77777777" w:rsidR="001755B5" w:rsidRPr="0032600A" w:rsidRDefault="001755B5" w:rsidP="001755B5">
      <w:pPr>
        <w:pStyle w:val="standard"/>
        <w:spacing w:line="240" w:lineRule="auto"/>
        <w:ind w:firstLine="0"/>
        <w:rPr>
          <w:i/>
          <w:szCs w:val="24"/>
        </w:rPr>
      </w:pPr>
      <w:r w:rsidRPr="0032600A">
        <w:rPr>
          <w:i/>
          <w:szCs w:val="24"/>
        </w:rPr>
        <w:t xml:space="preserve">How Successful is Carbon </w:t>
      </w:r>
      <w:proofErr w:type="gramStart"/>
      <w:r w:rsidRPr="0032600A">
        <w:rPr>
          <w:i/>
          <w:szCs w:val="24"/>
        </w:rPr>
        <w:t>TIME</w:t>
      </w:r>
      <w:proofErr w:type="gramEnd"/>
    </w:p>
    <w:tbl>
      <w:tblPr>
        <w:tblStyle w:val="TableGrid"/>
        <w:tblW w:w="5000" w:type="pct"/>
        <w:jc w:val="center"/>
        <w:tblLook w:val="04A0" w:firstRow="1" w:lastRow="0" w:firstColumn="1" w:lastColumn="0" w:noHBand="0" w:noVBand="1"/>
      </w:tblPr>
      <w:tblGrid>
        <w:gridCol w:w="2122"/>
        <w:gridCol w:w="2530"/>
        <w:gridCol w:w="954"/>
        <w:gridCol w:w="896"/>
        <w:gridCol w:w="1126"/>
        <w:gridCol w:w="894"/>
        <w:gridCol w:w="828"/>
      </w:tblGrid>
      <w:tr w:rsidR="001755B5" w:rsidRPr="0032600A" w14:paraId="4D741F97" w14:textId="77777777" w:rsidTr="00E52D07">
        <w:trPr>
          <w:trHeight w:val="432"/>
          <w:jc w:val="center"/>
        </w:trPr>
        <w:tc>
          <w:tcPr>
            <w:tcW w:w="1135" w:type="pct"/>
            <w:vAlign w:val="center"/>
          </w:tcPr>
          <w:p w14:paraId="52D39A06" w14:textId="77777777" w:rsidR="001755B5" w:rsidRPr="0032600A" w:rsidRDefault="001755B5" w:rsidP="001755B5">
            <w:pPr>
              <w:pStyle w:val="NoSpacing"/>
              <w:spacing w:after="60"/>
              <w:jc w:val="center"/>
              <w:rPr>
                <w:rFonts w:ascii="Times New Roman" w:hAnsi="Times New Roman"/>
                <w:bCs/>
                <w:sz w:val="24"/>
                <w:szCs w:val="24"/>
              </w:rPr>
            </w:pPr>
          </w:p>
        </w:tc>
        <w:tc>
          <w:tcPr>
            <w:tcW w:w="1353" w:type="pct"/>
            <w:vAlign w:val="center"/>
          </w:tcPr>
          <w:p w14:paraId="1AC8C79A" w14:textId="77777777" w:rsidR="001755B5" w:rsidRPr="0032600A" w:rsidRDefault="001755B5" w:rsidP="001755B5">
            <w:pPr>
              <w:pStyle w:val="NoSpacing"/>
              <w:spacing w:after="60"/>
              <w:jc w:val="center"/>
              <w:rPr>
                <w:rFonts w:ascii="Times New Roman" w:hAnsi="Times New Roman"/>
                <w:bCs/>
                <w:sz w:val="24"/>
                <w:szCs w:val="24"/>
              </w:rPr>
            </w:pPr>
          </w:p>
        </w:tc>
        <w:tc>
          <w:tcPr>
            <w:tcW w:w="510" w:type="pct"/>
            <w:vAlign w:val="center"/>
          </w:tcPr>
          <w:p w14:paraId="239E163F" w14:textId="77777777" w:rsidR="001755B5" w:rsidRPr="0032600A" w:rsidRDefault="001755B5" w:rsidP="001755B5">
            <w:pPr>
              <w:pStyle w:val="NoSpacing"/>
              <w:spacing w:after="60"/>
              <w:jc w:val="center"/>
              <w:rPr>
                <w:rFonts w:ascii="Times New Roman" w:hAnsi="Times New Roman"/>
                <w:bCs/>
                <w:sz w:val="24"/>
                <w:szCs w:val="24"/>
              </w:rPr>
            </w:pPr>
            <w:r w:rsidRPr="0032600A">
              <w:rPr>
                <w:rFonts w:ascii="Times New Roman" w:hAnsi="Times New Roman"/>
                <w:bCs/>
                <w:sz w:val="24"/>
                <w:szCs w:val="24"/>
              </w:rPr>
              <w:t>N</w:t>
            </w:r>
          </w:p>
        </w:tc>
        <w:tc>
          <w:tcPr>
            <w:tcW w:w="479" w:type="pct"/>
            <w:vAlign w:val="center"/>
          </w:tcPr>
          <w:p w14:paraId="02C82451" w14:textId="77777777" w:rsidR="001755B5" w:rsidRPr="0032600A" w:rsidRDefault="001755B5" w:rsidP="001755B5">
            <w:pPr>
              <w:pStyle w:val="NoSpacing"/>
              <w:spacing w:after="60"/>
              <w:jc w:val="center"/>
              <w:rPr>
                <w:rFonts w:ascii="Times New Roman" w:hAnsi="Times New Roman"/>
                <w:bCs/>
                <w:sz w:val="24"/>
                <w:szCs w:val="24"/>
              </w:rPr>
            </w:pPr>
            <w:r w:rsidRPr="0032600A">
              <w:rPr>
                <w:rFonts w:ascii="Times New Roman" w:hAnsi="Times New Roman"/>
                <w:bCs/>
                <w:sz w:val="24"/>
                <w:szCs w:val="24"/>
              </w:rPr>
              <w:t>Mean</w:t>
            </w:r>
          </w:p>
        </w:tc>
        <w:tc>
          <w:tcPr>
            <w:tcW w:w="602" w:type="pct"/>
            <w:vAlign w:val="center"/>
          </w:tcPr>
          <w:p w14:paraId="5325D818" w14:textId="77777777" w:rsidR="001755B5" w:rsidRPr="0032600A" w:rsidRDefault="001755B5" w:rsidP="001755B5">
            <w:pPr>
              <w:pStyle w:val="NoSpacing"/>
              <w:spacing w:after="60"/>
              <w:jc w:val="center"/>
              <w:rPr>
                <w:rFonts w:ascii="Times New Roman" w:hAnsi="Times New Roman"/>
                <w:bCs/>
                <w:sz w:val="24"/>
                <w:szCs w:val="24"/>
              </w:rPr>
            </w:pPr>
            <w:r w:rsidRPr="0032600A">
              <w:rPr>
                <w:rFonts w:ascii="Times New Roman" w:hAnsi="Times New Roman"/>
                <w:bCs/>
                <w:sz w:val="24"/>
                <w:szCs w:val="24"/>
              </w:rPr>
              <w:t>Std. Dev.</w:t>
            </w:r>
          </w:p>
        </w:tc>
        <w:tc>
          <w:tcPr>
            <w:tcW w:w="478" w:type="pct"/>
            <w:vAlign w:val="center"/>
          </w:tcPr>
          <w:p w14:paraId="6DDFF20D" w14:textId="77777777" w:rsidR="001755B5" w:rsidRPr="0032600A" w:rsidRDefault="001755B5" w:rsidP="001755B5">
            <w:pPr>
              <w:pStyle w:val="NoSpacing"/>
              <w:spacing w:after="60"/>
              <w:jc w:val="center"/>
              <w:rPr>
                <w:rFonts w:ascii="Times New Roman" w:hAnsi="Times New Roman"/>
                <w:bCs/>
                <w:sz w:val="24"/>
                <w:szCs w:val="24"/>
              </w:rPr>
            </w:pPr>
            <w:r w:rsidRPr="0032600A">
              <w:rPr>
                <w:rFonts w:ascii="Times New Roman" w:hAnsi="Times New Roman"/>
                <w:bCs/>
                <w:sz w:val="24"/>
                <w:szCs w:val="24"/>
              </w:rPr>
              <w:t>Min</w:t>
            </w:r>
          </w:p>
        </w:tc>
        <w:tc>
          <w:tcPr>
            <w:tcW w:w="443" w:type="pct"/>
            <w:vAlign w:val="center"/>
          </w:tcPr>
          <w:p w14:paraId="4355CBB1" w14:textId="77777777" w:rsidR="001755B5" w:rsidRPr="0032600A" w:rsidRDefault="001755B5" w:rsidP="001755B5">
            <w:pPr>
              <w:pStyle w:val="NoSpacing"/>
              <w:spacing w:after="60"/>
              <w:jc w:val="center"/>
              <w:rPr>
                <w:rFonts w:ascii="Times New Roman" w:hAnsi="Times New Roman"/>
                <w:bCs/>
                <w:sz w:val="24"/>
                <w:szCs w:val="24"/>
              </w:rPr>
            </w:pPr>
            <w:r w:rsidRPr="0032600A">
              <w:rPr>
                <w:rFonts w:ascii="Times New Roman" w:hAnsi="Times New Roman"/>
                <w:bCs/>
                <w:sz w:val="24"/>
                <w:szCs w:val="24"/>
              </w:rPr>
              <w:t>Max</w:t>
            </w:r>
          </w:p>
        </w:tc>
      </w:tr>
      <w:tr w:rsidR="001755B5" w:rsidRPr="0032600A" w14:paraId="41AEE843" w14:textId="77777777" w:rsidTr="00E52D07">
        <w:trPr>
          <w:trHeight w:val="432"/>
          <w:jc w:val="center"/>
        </w:trPr>
        <w:tc>
          <w:tcPr>
            <w:tcW w:w="1135" w:type="pct"/>
            <w:vMerge w:val="restart"/>
            <w:vAlign w:val="center"/>
          </w:tcPr>
          <w:p w14:paraId="7AECB8F9" w14:textId="77777777" w:rsidR="001755B5" w:rsidRPr="0032600A" w:rsidRDefault="001755B5" w:rsidP="001755B5">
            <w:pPr>
              <w:jc w:val="center"/>
            </w:pPr>
            <w:r w:rsidRPr="0032600A">
              <w:t>Analytical Sample 1: compare baseline with posttest</w:t>
            </w:r>
          </w:p>
        </w:tc>
        <w:tc>
          <w:tcPr>
            <w:tcW w:w="1353" w:type="pct"/>
            <w:vAlign w:val="center"/>
          </w:tcPr>
          <w:p w14:paraId="66810F7B" w14:textId="77777777" w:rsidR="001755B5" w:rsidRPr="0032600A" w:rsidRDefault="001755B5" w:rsidP="001755B5">
            <w:pPr>
              <w:pStyle w:val="NoSpacing"/>
              <w:spacing w:after="60"/>
              <w:jc w:val="center"/>
              <w:rPr>
                <w:rFonts w:ascii="Times New Roman" w:hAnsi="Times New Roman"/>
                <w:i/>
                <w:iCs/>
                <w:sz w:val="24"/>
                <w:szCs w:val="24"/>
              </w:rPr>
            </w:pPr>
            <w:r w:rsidRPr="0032600A">
              <w:rPr>
                <w:rFonts w:ascii="Times New Roman" w:hAnsi="Times New Roman"/>
                <w:sz w:val="24"/>
                <w:szCs w:val="24"/>
              </w:rPr>
              <w:t>non-</w:t>
            </w:r>
            <w:r w:rsidRPr="0032600A">
              <w:rPr>
                <w:rFonts w:ascii="Times New Roman" w:hAnsi="Times New Roman"/>
                <w:i/>
                <w:iCs/>
                <w:sz w:val="24"/>
                <w:szCs w:val="24"/>
              </w:rPr>
              <w:t>CTIME</w:t>
            </w:r>
          </w:p>
        </w:tc>
        <w:tc>
          <w:tcPr>
            <w:tcW w:w="510" w:type="pct"/>
            <w:vAlign w:val="center"/>
          </w:tcPr>
          <w:p w14:paraId="003BD899"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3,252</w:t>
            </w:r>
          </w:p>
        </w:tc>
        <w:tc>
          <w:tcPr>
            <w:tcW w:w="479" w:type="pct"/>
            <w:vAlign w:val="center"/>
          </w:tcPr>
          <w:p w14:paraId="12F1232D"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1.251</w:t>
            </w:r>
          </w:p>
        </w:tc>
        <w:tc>
          <w:tcPr>
            <w:tcW w:w="602" w:type="pct"/>
            <w:vAlign w:val="center"/>
          </w:tcPr>
          <w:p w14:paraId="47DF34AA"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1.049</w:t>
            </w:r>
          </w:p>
        </w:tc>
        <w:tc>
          <w:tcPr>
            <w:tcW w:w="478" w:type="pct"/>
            <w:vAlign w:val="center"/>
          </w:tcPr>
          <w:p w14:paraId="58F43242"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4.983</w:t>
            </w:r>
          </w:p>
        </w:tc>
        <w:tc>
          <w:tcPr>
            <w:tcW w:w="443" w:type="pct"/>
            <w:vAlign w:val="center"/>
          </w:tcPr>
          <w:p w14:paraId="2B38EB7D"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3.387</w:t>
            </w:r>
          </w:p>
        </w:tc>
      </w:tr>
      <w:tr w:rsidR="001755B5" w:rsidRPr="0032600A" w14:paraId="13BF03EE" w14:textId="77777777" w:rsidTr="00E52D07">
        <w:trPr>
          <w:trHeight w:val="432"/>
          <w:jc w:val="center"/>
        </w:trPr>
        <w:tc>
          <w:tcPr>
            <w:tcW w:w="1135" w:type="pct"/>
            <w:vMerge/>
            <w:vAlign w:val="center"/>
          </w:tcPr>
          <w:p w14:paraId="6E11219D" w14:textId="77777777" w:rsidR="001755B5" w:rsidRPr="0032600A" w:rsidRDefault="001755B5" w:rsidP="001755B5">
            <w:pPr>
              <w:jc w:val="center"/>
            </w:pPr>
          </w:p>
        </w:tc>
        <w:tc>
          <w:tcPr>
            <w:tcW w:w="1353" w:type="pct"/>
            <w:vAlign w:val="center"/>
          </w:tcPr>
          <w:p w14:paraId="2243649F"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i/>
                <w:iCs/>
                <w:sz w:val="24"/>
                <w:szCs w:val="24"/>
              </w:rPr>
              <w:t>CTIME</w:t>
            </w:r>
          </w:p>
        </w:tc>
        <w:tc>
          <w:tcPr>
            <w:tcW w:w="510" w:type="pct"/>
            <w:vAlign w:val="center"/>
          </w:tcPr>
          <w:p w14:paraId="0E77E07C" w14:textId="77777777" w:rsidR="001755B5" w:rsidRPr="0032600A" w:rsidRDefault="001755B5" w:rsidP="001755B5">
            <w:pPr>
              <w:pStyle w:val="NoSpacing"/>
              <w:spacing w:after="60"/>
              <w:jc w:val="center"/>
              <w:rPr>
                <w:rFonts w:ascii="Times New Roman" w:hAnsi="Times New Roman"/>
                <w:color w:val="000000" w:themeColor="text1"/>
                <w:sz w:val="24"/>
                <w:szCs w:val="24"/>
              </w:rPr>
            </w:pPr>
            <w:r w:rsidRPr="0032600A">
              <w:rPr>
                <w:rFonts w:ascii="Times New Roman" w:hAnsi="Times New Roman"/>
                <w:color w:val="000000" w:themeColor="text1"/>
                <w:sz w:val="24"/>
                <w:szCs w:val="24"/>
              </w:rPr>
              <w:t>3,195</w:t>
            </w:r>
          </w:p>
        </w:tc>
        <w:tc>
          <w:tcPr>
            <w:tcW w:w="479" w:type="pct"/>
            <w:vAlign w:val="center"/>
          </w:tcPr>
          <w:p w14:paraId="27EBBBC8" w14:textId="77777777" w:rsidR="001755B5" w:rsidRPr="0032600A" w:rsidRDefault="001755B5" w:rsidP="001755B5">
            <w:pPr>
              <w:pStyle w:val="NoSpacing"/>
              <w:spacing w:after="6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Pr="0032600A">
              <w:rPr>
                <w:rFonts w:ascii="Times New Roman" w:hAnsi="Times New Roman"/>
                <w:color w:val="000000" w:themeColor="text1"/>
                <w:sz w:val="24"/>
                <w:szCs w:val="24"/>
              </w:rPr>
              <w:t>0.003</w:t>
            </w:r>
          </w:p>
        </w:tc>
        <w:tc>
          <w:tcPr>
            <w:tcW w:w="602" w:type="pct"/>
            <w:vAlign w:val="center"/>
          </w:tcPr>
          <w:p w14:paraId="198FAD1E" w14:textId="77777777" w:rsidR="001755B5" w:rsidRPr="0032600A" w:rsidRDefault="001755B5" w:rsidP="001755B5">
            <w:pPr>
              <w:pStyle w:val="NoSpacing"/>
              <w:spacing w:after="60"/>
              <w:jc w:val="center"/>
              <w:rPr>
                <w:rFonts w:ascii="Times New Roman" w:hAnsi="Times New Roman"/>
                <w:color w:val="000000" w:themeColor="text1"/>
                <w:sz w:val="24"/>
                <w:szCs w:val="24"/>
              </w:rPr>
            </w:pPr>
            <w:r w:rsidRPr="0032600A">
              <w:rPr>
                <w:rFonts w:ascii="Times New Roman" w:hAnsi="Times New Roman"/>
                <w:color w:val="000000" w:themeColor="text1"/>
                <w:sz w:val="24"/>
                <w:szCs w:val="24"/>
              </w:rPr>
              <w:t>1.546</w:t>
            </w:r>
          </w:p>
        </w:tc>
        <w:tc>
          <w:tcPr>
            <w:tcW w:w="478" w:type="pct"/>
            <w:vAlign w:val="center"/>
          </w:tcPr>
          <w:p w14:paraId="37F119FC" w14:textId="77777777" w:rsidR="001755B5" w:rsidRPr="0032600A" w:rsidRDefault="001755B5" w:rsidP="001755B5">
            <w:pPr>
              <w:pStyle w:val="NoSpacing"/>
              <w:spacing w:after="60"/>
              <w:jc w:val="center"/>
              <w:rPr>
                <w:rFonts w:ascii="Times New Roman" w:hAnsi="Times New Roman"/>
                <w:color w:val="000000" w:themeColor="text1"/>
                <w:sz w:val="24"/>
                <w:szCs w:val="24"/>
              </w:rPr>
            </w:pPr>
            <w:r>
              <w:rPr>
                <w:rFonts w:ascii="Times New Roman" w:hAnsi="Times New Roman"/>
                <w:color w:val="000000" w:themeColor="text1"/>
                <w:sz w:val="24"/>
                <w:szCs w:val="24"/>
              </w:rPr>
              <w:t>–</w:t>
            </w:r>
            <w:r w:rsidRPr="0032600A">
              <w:rPr>
                <w:rFonts w:ascii="Times New Roman" w:hAnsi="Times New Roman"/>
                <w:color w:val="000000" w:themeColor="text1"/>
                <w:sz w:val="24"/>
                <w:szCs w:val="24"/>
              </w:rPr>
              <w:t>4.907</w:t>
            </w:r>
          </w:p>
        </w:tc>
        <w:tc>
          <w:tcPr>
            <w:tcW w:w="443" w:type="pct"/>
            <w:vAlign w:val="center"/>
          </w:tcPr>
          <w:p w14:paraId="377EBA54" w14:textId="77777777" w:rsidR="001755B5" w:rsidRPr="0032600A" w:rsidRDefault="001755B5" w:rsidP="001755B5">
            <w:pPr>
              <w:pStyle w:val="NoSpacing"/>
              <w:spacing w:after="60"/>
              <w:jc w:val="center"/>
              <w:rPr>
                <w:rFonts w:ascii="Times New Roman" w:hAnsi="Times New Roman"/>
                <w:color w:val="000000" w:themeColor="text1"/>
                <w:sz w:val="24"/>
                <w:szCs w:val="24"/>
              </w:rPr>
            </w:pPr>
            <w:r w:rsidRPr="0032600A">
              <w:rPr>
                <w:rFonts w:ascii="Times New Roman" w:hAnsi="Times New Roman" w:hint="eastAsia"/>
                <w:color w:val="000000" w:themeColor="text1"/>
                <w:sz w:val="24"/>
                <w:szCs w:val="24"/>
              </w:rPr>
              <w:t>8</w:t>
            </w:r>
            <w:r w:rsidRPr="0032600A">
              <w:rPr>
                <w:rFonts w:ascii="Times New Roman" w:hAnsi="Times New Roman"/>
                <w:color w:val="000000" w:themeColor="text1"/>
                <w:sz w:val="24"/>
                <w:szCs w:val="24"/>
              </w:rPr>
              <w:t>.524</w:t>
            </w:r>
          </w:p>
        </w:tc>
      </w:tr>
      <w:tr w:rsidR="001755B5" w:rsidRPr="0032600A" w14:paraId="6D02F3A2" w14:textId="77777777" w:rsidTr="00E52D07">
        <w:trPr>
          <w:trHeight w:val="432"/>
          <w:jc w:val="center"/>
        </w:trPr>
        <w:tc>
          <w:tcPr>
            <w:tcW w:w="1135" w:type="pct"/>
            <w:vMerge/>
            <w:vAlign w:val="center"/>
          </w:tcPr>
          <w:p w14:paraId="22068C04" w14:textId="77777777" w:rsidR="001755B5" w:rsidRPr="0032600A" w:rsidRDefault="001755B5" w:rsidP="001755B5">
            <w:pPr>
              <w:jc w:val="center"/>
            </w:pPr>
          </w:p>
        </w:tc>
        <w:tc>
          <w:tcPr>
            <w:tcW w:w="3865" w:type="pct"/>
            <w:gridSpan w:val="6"/>
            <w:vAlign w:val="center"/>
          </w:tcPr>
          <w:p w14:paraId="70364506" w14:textId="77777777" w:rsidR="001755B5" w:rsidRPr="0032600A" w:rsidRDefault="001755B5" w:rsidP="001755B5">
            <w:pPr>
              <w:pStyle w:val="NoSpacing"/>
              <w:spacing w:after="60"/>
              <w:jc w:val="center"/>
              <w:rPr>
                <w:rFonts w:ascii="Times New Roman" w:hAnsi="Times New Roman"/>
                <w:color w:val="000000" w:themeColor="text1"/>
                <w:sz w:val="24"/>
                <w:szCs w:val="24"/>
              </w:rPr>
            </w:pPr>
            <w:r w:rsidRPr="0032600A">
              <w:rPr>
                <w:rFonts w:ascii="Times New Roman" w:hAnsi="Times New Roman"/>
                <w:color w:val="000000" w:themeColor="text1"/>
                <w:sz w:val="24"/>
                <w:szCs w:val="24"/>
              </w:rPr>
              <w:t xml:space="preserve">Two-sample t test: difference = 1.247, SE = 0.033, </w:t>
            </w:r>
            <w:r w:rsidRPr="00FF6044">
              <w:rPr>
                <w:rFonts w:ascii="Times New Roman" w:hAnsi="Times New Roman"/>
                <w:i/>
                <w:iCs/>
                <w:color w:val="000000" w:themeColor="text1"/>
                <w:sz w:val="24"/>
                <w:szCs w:val="24"/>
              </w:rPr>
              <w:t>p</w:t>
            </w:r>
            <w:r w:rsidRPr="0032600A">
              <w:rPr>
                <w:rFonts w:ascii="Times New Roman" w:hAnsi="Times New Roman"/>
                <w:color w:val="000000" w:themeColor="text1"/>
                <w:sz w:val="24"/>
                <w:szCs w:val="24"/>
              </w:rPr>
              <w:t xml:space="preserve"> &lt; 0.001. Effect size = 0.807.</w:t>
            </w:r>
          </w:p>
        </w:tc>
      </w:tr>
      <w:tr w:rsidR="001755B5" w:rsidRPr="0032600A" w14:paraId="60B4943E" w14:textId="77777777" w:rsidTr="00E52D07">
        <w:trPr>
          <w:trHeight w:val="432"/>
          <w:jc w:val="center"/>
        </w:trPr>
        <w:tc>
          <w:tcPr>
            <w:tcW w:w="1135" w:type="pct"/>
            <w:vMerge w:val="restart"/>
            <w:vAlign w:val="center"/>
          </w:tcPr>
          <w:p w14:paraId="254982D1" w14:textId="77777777" w:rsidR="001755B5" w:rsidRPr="0032600A" w:rsidRDefault="001755B5" w:rsidP="001755B5">
            <w:pPr>
              <w:jc w:val="center"/>
            </w:pPr>
            <w:r w:rsidRPr="0032600A">
              <w:t xml:space="preserve">Analytical Sample 2: compare pretest with posttest </w:t>
            </w:r>
          </w:p>
        </w:tc>
        <w:tc>
          <w:tcPr>
            <w:tcW w:w="1353" w:type="pct"/>
            <w:vAlign w:val="center"/>
          </w:tcPr>
          <w:p w14:paraId="102C543C"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Pretest</w:t>
            </w:r>
          </w:p>
        </w:tc>
        <w:tc>
          <w:tcPr>
            <w:tcW w:w="510" w:type="pct"/>
            <w:vAlign w:val="center"/>
          </w:tcPr>
          <w:p w14:paraId="0FA84024"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16,195</w:t>
            </w:r>
          </w:p>
        </w:tc>
        <w:tc>
          <w:tcPr>
            <w:tcW w:w="479" w:type="pct"/>
            <w:vAlign w:val="center"/>
          </w:tcPr>
          <w:p w14:paraId="44B15D59"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1.435</w:t>
            </w:r>
          </w:p>
        </w:tc>
        <w:tc>
          <w:tcPr>
            <w:tcW w:w="602" w:type="pct"/>
            <w:vAlign w:val="center"/>
          </w:tcPr>
          <w:p w14:paraId="635708FB"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0.813</w:t>
            </w:r>
          </w:p>
        </w:tc>
        <w:tc>
          <w:tcPr>
            <w:tcW w:w="478" w:type="pct"/>
            <w:vAlign w:val="center"/>
          </w:tcPr>
          <w:p w14:paraId="1D00635F"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4.948</w:t>
            </w:r>
          </w:p>
        </w:tc>
        <w:tc>
          <w:tcPr>
            <w:tcW w:w="443" w:type="pct"/>
            <w:vAlign w:val="center"/>
          </w:tcPr>
          <w:p w14:paraId="32F0F35A"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3.886</w:t>
            </w:r>
          </w:p>
        </w:tc>
      </w:tr>
      <w:tr w:rsidR="001755B5" w:rsidRPr="0032600A" w14:paraId="367B70DB" w14:textId="77777777" w:rsidTr="00E52D07">
        <w:trPr>
          <w:trHeight w:val="432"/>
          <w:jc w:val="center"/>
        </w:trPr>
        <w:tc>
          <w:tcPr>
            <w:tcW w:w="1135" w:type="pct"/>
            <w:vMerge/>
            <w:vAlign w:val="center"/>
          </w:tcPr>
          <w:p w14:paraId="0AA7F27B" w14:textId="77777777" w:rsidR="001755B5" w:rsidRPr="0032600A" w:rsidRDefault="001755B5" w:rsidP="001755B5">
            <w:pPr>
              <w:jc w:val="center"/>
            </w:pPr>
          </w:p>
        </w:tc>
        <w:tc>
          <w:tcPr>
            <w:tcW w:w="1353" w:type="pct"/>
            <w:vAlign w:val="center"/>
          </w:tcPr>
          <w:p w14:paraId="680E17FF"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Posttest</w:t>
            </w:r>
          </w:p>
        </w:tc>
        <w:tc>
          <w:tcPr>
            <w:tcW w:w="510" w:type="pct"/>
            <w:vAlign w:val="center"/>
          </w:tcPr>
          <w:p w14:paraId="7FBB7E21"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16,195</w:t>
            </w:r>
          </w:p>
        </w:tc>
        <w:tc>
          <w:tcPr>
            <w:tcW w:w="479" w:type="pct"/>
            <w:vAlign w:val="center"/>
          </w:tcPr>
          <w:p w14:paraId="56E2B8CA"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0.396</w:t>
            </w:r>
          </w:p>
        </w:tc>
        <w:tc>
          <w:tcPr>
            <w:tcW w:w="602" w:type="pct"/>
            <w:vAlign w:val="center"/>
          </w:tcPr>
          <w:p w14:paraId="52D80083"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1.286</w:t>
            </w:r>
          </w:p>
        </w:tc>
        <w:tc>
          <w:tcPr>
            <w:tcW w:w="478" w:type="pct"/>
            <w:vAlign w:val="center"/>
          </w:tcPr>
          <w:p w14:paraId="43988758"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3.798</w:t>
            </w:r>
          </w:p>
        </w:tc>
        <w:tc>
          <w:tcPr>
            <w:tcW w:w="443" w:type="pct"/>
            <w:vAlign w:val="center"/>
          </w:tcPr>
          <w:p w14:paraId="4D8D0812"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6.061</w:t>
            </w:r>
          </w:p>
        </w:tc>
      </w:tr>
      <w:tr w:rsidR="001755B5" w:rsidRPr="0032600A" w14:paraId="178B9D02" w14:textId="77777777" w:rsidTr="00E52D07">
        <w:trPr>
          <w:trHeight w:val="432"/>
          <w:jc w:val="center"/>
        </w:trPr>
        <w:tc>
          <w:tcPr>
            <w:tcW w:w="1135" w:type="pct"/>
            <w:vMerge/>
            <w:vAlign w:val="center"/>
          </w:tcPr>
          <w:p w14:paraId="38A564FD" w14:textId="77777777" w:rsidR="001755B5" w:rsidRPr="0032600A" w:rsidRDefault="001755B5" w:rsidP="001755B5">
            <w:pPr>
              <w:jc w:val="center"/>
            </w:pPr>
          </w:p>
        </w:tc>
        <w:tc>
          <w:tcPr>
            <w:tcW w:w="1353" w:type="pct"/>
            <w:vAlign w:val="center"/>
          </w:tcPr>
          <w:p w14:paraId="3C20192C"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Gain</w:t>
            </w:r>
          </w:p>
        </w:tc>
        <w:tc>
          <w:tcPr>
            <w:tcW w:w="510" w:type="pct"/>
            <w:vAlign w:val="center"/>
          </w:tcPr>
          <w:p w14:paraId="36728FF7"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16,195</w:t>
            </w:r>
          </w:p>
        </w:tc>
        <w:tc>
          <w:tcPr>
            <w:tcW w:w="479" w:type="pct"/>
            <w:vAlign w:val="center"/>
          </w:tcPr>
          <w:p w14:paraId="6409CE8B"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1.831</w:t>
            </w:r>
          </w:p>
        </w:tc>
        <w:tc>
          <w:tcPr>
            <w:tcW w:w="602" w:type="pct"/>
            <w:vAlign w:val="center"/>
          </w:tcPr>
          <w:p w14:paraId="6745A633"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1.221</w:t>
            </w:r>
          </w:p>
        </w:tc>
        <w:tc>
          <w:tcPr>
            <w:tcW w:w="478" w:type="pct"/>
            <w:vAlign w:val="center"/>
          </w:tcPr>
          <w:p w14:paraId="7605EE75"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2.727</w:t>
            </w:r>
          </w:p>
        </w:tc>
        <w:tc>
          <w:tcPr>
            <w:tcW w:w="443" w:type="pct"/>
            <w:vAlign w:val="center"/>
          </w:tcPr>
          <w:p w14:paraId="5C99E8FA"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8.988</w:t>
            </w:r>
          </w:p>
        </w:tc>
      </w:tr>
      <w:tr w:rsidR="001755B5" w:rsidRPr="0032600A" w14:paraId="59C06AA9" w14:textId="77777777" w:rsidTr="00E52D07">
        <w:trPr>
          <w:trHeight w:val="432"/>
          <w:jc w:val="center"/>
        </w:trPr>
        <w:tc>
          <w:tcPr>
            <w:tcW w:w="1135" w:type="pct"/>
            <w:vMerge/>
            <w:vAlign w:val="center"/>
          </w:tcPr>
          <w:p w14:paraId="62131590" w14:textId="77777777" w:rsidR="001755B5" w:rsidRPr="0032600A" w:rsidRDefault="001755B5" w:rsidP="001755B5">
            <w:pPr>
              <w:jc w:val="center"/>
            </w:pPr>
          </w:p>
        </w:tc>
        <w:tc>
          <w:tcPr>
            <w:tcW w:w="3865" w:type="pct"/>
            <w:gridSpan w:val="6"/>
            <w:vAlign w:val="center"/>
          </w:tcPr>
          <w:p w14:paraId="112F2C3A"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 xml:space="preserve">Paired t test: difference = 1.831, SE = 0.010, </w:t>
            </w:r>
            <w:r w:rsidRPr="00FF6044">
              <w:rPr>
                <w:rFonts w:ascii="Times New Roman" w:hAnsi="Times New Roman"/>
                <w:i/>
                <w:iCs/>
                <w:sz w:val="24"/>
                <w:szCs w:val="24"/>
              </w:rPr>
              <w:t>p</w:t>
            </w:r>
            <w:r w:rsidRPr="0032600A">
              <w:rPr>
                <w:rFonts w:ascii="Times New Roman" w:hAnsi="Times New Roman"/>
                <w:sz w:val="24"/>
                <w:szCs w:val="24"/>
              </w:rPr>
              <w:t xml:space="preserve"> &lt; 0.001. Effect size = 1.423.</w:t>
            </w:r>
          </w:p>
        </w:tc>
      </w:tr>
      <w:tr w:rsidR="001755B5" w:rsidRPr="0032600A" w14:paraId="0F26CB2E" w14:textId="77777777" w:rsidTr="00E52D07">
        <w:trPr>
          <w:trHeight w:val="432"/>
          <w:jc w:val="center"/>
        </w:trPr>
        <w:tc>
          <w:tcPr>
            <w:tcW w:w="1135" w:type="pct"/>
            <w:vMerge w:val="restart"/>
            <w:vAlign w:val="center"/>
          </w:tcPr>
          <w:p w14:paraId="45C8BB12" w14:textId="77777777" w:rsidR="001755B5" w:rsidRPr="0032600A" w:rsidRDefault="001755B5" w:rsidP="001755B5">
            <w:pPr>
              <w:jc w:val="center"/>
            </w:pPr>
            <w:r w:rsidRPr="0032600A">
              <w:t>Analytical Sample 1: compare baseline with pretest</w:t>
            </w:r>
          </w:p>
        </w:tc>
        <w:tc>
          <w:tcPr>
            <w:tcW w:w="1353" w:type="pct"/>
            <w:tcBorders>
              <w:right w:val="single" w:sz="4" w:space="0" w:color="000000"/>
            </w:tcBorders>
            <w:vAlign w:val="center"/>
          </w:tcPr>
          <w:p w14:paraId="40BD8E09"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i/>
                <w:iCs/>
                <w:sz w:val="24"/>
                <w:szCs w:val="24"/>
              </w:rPr>
              <w:t xml:space="preserve">CTIME </w:t>
            </w:r>
            <w:r w:rsidRPr="0032600A">
              <w:rPr>
                <w:rFonts w:ascii="Times New Roman" w:hAnsi="Times New Roman"/>
                <w:sz w:val="24"/>
                <w:szCs w:val="24"/>
              </w:rPr>
              <w:t>pretest</w:t>
            </w:r>
          </w:p>
        </w:tc>
        <w:tc>
          <w:tcPr>
            <w:tcW w:w="510" w:type="pct"/>
            <w:tcBorders>
              <w:left w:val="single" w:sz="4" w:space="0" w:color="000000"/>
              <w:right w:val="single" w:sz="4" w:space="0" w:color="000000"/>
            </w:tcBorders>
            <w:vAlign w:val="center"/>
          </w:tcPr>
          <w:p w14:paraId="42FEC9B5"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hint="eastAsia"/>
                <w:sz w:val="24"/>
                <w:szCs w:val="24"/>
              </w:rPr>
              <w:t>3</w:t>
            </w:r>
            <w:r w:rsidRPr="0032600A">
              <w:rPr>
                <w:rFonts w:ascii="Times New Roman" w:hAnsi="Times New Roman"/>
                <w:sz w:val="24"/>
                <w:szCs w:val="24"/>
              </w:rPr>
              <w:t>,195</w:t>
            </w:r>
          </w:p>
        </w:tc>
        <w:tc>
          <w:tcPr>
            <w:tcW w:w="479" w:type="pct"/>
            <w:tcBorders>
              <w:left w:val="single" w:sz="4" w:space="0" w:color="000000"/>
              <w:right w:val="single" w:sz="4" w:space="0" w:color="000000"/>
            </w:tcBorders>
            <w:vAlign w:val="center"/>
          </w:tcPr>
          <w:p w14:paraId="438D07CF"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1.454</w:t>
            </w:r>
          </w:p>
        </w:tc>
        <w:tc>
          <w:tcPr>
            <w:tcW w:w="602" w:type="pct"/>
            <w:tcBorders>
              <w:left w:val="single" w:sz="4" w:space="0" w:color="000000"/>
              <w:right w:val="single" w:sz="4" w:space="0" w:color="000000"/>
            </w:tcBorders>
            <w:vAlign w:val="center"/>
          </w:tcPr>
          <w:p w14:paraId="14716EFD"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hint="eastAsia"/>
                <w:sz w:val="24"/>
                <w:szCs w:val="24"/>
              </w:rPr>
              <w:t>0</w:t>
            </w:r>
            <w:r w:rsidRPr="0032600A">
              <w:rPr>
                <w:rFonts w:ascii="Times New Roman" w:hAnsi="Times New Roman"/>
                <w:sz w:val="24"/>
                <w:szCs w:val="24"/>
              </w:rPr>
              <w:t>.795</w:t>
            </w:r>
          </w:p>
        </w:tc>
        <w:tc>
          <w:tcPr>
            <w:tcW w:w="478" w:type="pct"/>
            <w:tcBorders>
              <w:left w:val="single" w:sz="4" w:space="0" w:color="000000"/>
              <w:right w:val="single" w:sz="4" w:space="0" w:color="000000"/>
            </w:tcBorders>
            <w:vAlign w:val="center"/>
          </w:tcPr>
          <w:p w14:paraId="5EBB8AC5"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4.948</w:t>
            </w:r>
          </w:p>
        </w:tc>
        <w:tc>
          <w:tcPr>
            <w:tcW w:w="443" w:type="pct"/>
            <w:tcBorders>
              <w:left w:val="single" w:sz="4" w:space="0" w:color="000000"/>
            </w:tcBorders>
            <w:vAlign w:val="center"/>
          </w:tcPr>
          <w:p w14:paraId="5BC77D82"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hint="eastAsia"/>
                <w:sz w:val="24"/>
                <w:szCs w:val="24"/>
              </w:rPr>
              <w:t>1</w:t>
            </w:r>
            <w:r w:rsidRPr="0032600A">
              <w:rPr>
                <w:rFonts w:ascii="Times New Roman" w:hAnsi="Times New Roman"/>
                <w:sz w:val="24"/>
                <w:szCs w:val="24"/>
              </w:rPr>
              <w:t>.549</w:t>
            </w:r>
          </w:p>
        </w:tc>
      </w:tr>
      <w:tr w:rsidR="001755B5" w:rsidRPr="0032600A" w14:paraId="724483CF" w14:textId="77777777" w:rsidTr="00E52D07">
        <w:trPr>
          <w:trHeight w:val="432"/>
          <w:jc w:val="center"/>
        </w:trPr>
        <w:tc>
          <w:tcPr>
            <w:tcW w:w="1135" w:type="pct"/>
            <w:vMerge/>
            <w:vAlign w:val="center"/>
          </w:tcPr>
          <w:p w14:paraId="5E4D6D37" w14:textId="77777777" w:rsidR="001755B5" w:rsidRPr="0032600A" w:rsidRDefault="001755B5" w:rsidP="001755B5">
            <w:pPr>
              <w:jc w:val="center"/>
            </w:pPr>
          </w:p>
        </w:tc>
        <w:tc>
          <w:tcPr>
            <w:tcW w:w="1353" w:type="pct"/>
            <w:tcBorders>
              <w:right w:val="single" w:sz="4" w:space="0" w:color="000000"/>
            </w:tcBorders>
            <w:vAlign w:val="center"/>
          </w:tcPr>
          <w:p w14:paraId="5B63B816"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non-</w:t>
            </w:r>
            <w:r w:rsidRPr="0032600A">
              <w:rPr>
                <w:rFonts w:ascii="Times New Roman" w:hAnsi="Times New Roman"/>
                <w:i/>
                <w:iCs/>
                <w:sz w:val="24"/>
                <w:szCs w:val="24"/>
              </w:rPr>
              <w:t xml:space="preserve">CTIME </w:t>
            </w:r>
            <w:r w:rsidRPr="0032600A">
              <w:rPr>
                <w:rFonts w:ascii="Times New Roman" w:hAnsi="Times New Roman"/>
                <w:sz w:val="24"/>
                <w:szCs w:val="24"/>
              </w:rPr>
              <w:t>posttest</w:t>
            </w:r>
          </w:p>
        </w:tc>
        <w:tc>
          <w:tcPr>
            <w:tcW w:w="510" w:type="pct"/>
            <w:tcBorders>
              <w:left w:val="single" w:sz="4" w:space="0" w:color="000000"/>
              <w:right w:val="single" w:sz="4" w:space="0" w:color="000000"/>
            </w:tcBorders>
            <w:vAlign w:val="center"/>
          </w:tcPr>
          <w:p w14:paraId="1B9A0D6B"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3,252</w:t>
            </w:r>
          </w:p>
        </w:tc>
        <w:tc>
          <w:tcPr>
            <w:tcW w:w="479" w:type="pct"/>
            <w:tcBorders>
              <w:left w:val="single" w:sz="4" w:space="0" w:color="000000"/>
              <w:right w:val="single" w:sz="4" w:space="0" w:color="000000"/>
            </w:tcBorders>
            <w:vAlign w:val="center"/>
          </w:tcPr>
          <w:p w14:paraId="00018B28"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1.251</w:t>
            </w:r>
          </w:p>
        </w:tc>
        <w:tc>
          <w:tcPr>
            <w:tcW w:w="602" w:type="pct"/>
            <w:tcBorders>
              <w:left w:val="single" w:sz="4" w:space="0" w:color="000000"/>
              <w:right w:val="single" w:sz="4" w:space="0" w:color="000000"/>
            </w:tcBorders>
            <w:vAlign w:val="center"/>
          </w:tcPr>
          <w:p w14:paraId="5644235E"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1.049</w:t>
            </w:r>
          </w:p>
        </w:tc>
        <w:tc>
          <w:tcPr>
            <w:tcW w:w="478" w:type="pct"/>
            <w:tcBorders>
              <w:left w:val="single" w:sz="4" w:space="0" w:color="000000"/>
              <w:right w:val="single" w:sz="4" w:space="0" w:color="000000"/>
            </w:tcBorders>
            <w:vAlign w:val="center"/>
          </w:tcPr>
          <w:p w14:paraId="0F0DC2F1" w14:textId="77777777" w:rsidR="001755B5" w:rsidRPr="0032600A" w:rsidRDefault="001755B5" w:rsidP="001755B5">
            <w:pPr>
              <w:pStyle w:val="NoSpacing"/>
              <w:spacing w:after="60"/>
              <w:jc w:val="center"/>
              <w:rPr>
                <w:rFonts w:ascii="Times New Roman" w:hAnsi="Times New Roman"/>
                <w:sz w:val="24"/>
                <w:szCs w:val="24"/>
              </w:rPr>
            </w:pPr>
            <w:r>
              <w:rPr>
                <w:rFonts w:ascii="Times New Roman" w:hAnsi="Times New Roman"/>
                <w:sz w:val="24"/>
                <w:szCs w:val="24"/>
              </w:rPr>
              <w:t>–</w:t>
            </w:r>
            <w:r w:rsidRPr="0032600A">
              <w:rPr>
                <w:rFonts w:ascii="Times New Roman" w:hAnsi="Times New Roman"/>
                <w:sz w:val="24"/>
                <w:szCs w:val="24"/>
              </w:rPr>
              <w:t>4.983</w:t>
            </w:r>
          </w:p>
        </w:tc>
        <w:tc>
          <w:tcPr>
            <w:tcW w:w="443" w:type="pct"/>
            <w:tcBorders>
              <w:left w:val="single" w:sz="4" w:space="0" w:color="000000"/>
            </w:tcBorders>
            <w:vAlign w:val="center"/>
          </w:tcPr>
          <w:p w14:paraId="1DFC4735" w14:textId="77777777" w:rsidR="001755B5" w:rsidRPr="0032600A" w:rsidRDefault="001755B5" w:rsidP="001755B5">
            <w:pPr>
              <w:pStyle w:val="NoSpacing"/>
              <w:spacing w:after="60"/>
              <w:jc w:val="center"/>
              <w:rPr>
                <w:rFonts w:ascii="Times New Roman" w:hAnsi="Times New Roman"/>
                <w:sz w:val="24"/>
                <w:szCs w:val="24"/>
              </w:rPr>
            </w:pPr>
            <w:r w:rsidRPr="0032600A">
              <w:rPr>
                <w:rFonts w:ascii="Times New Roman" w:hAnsi="Times New Roman"/>
                <w:sz w:val="24"/>
                <w:szCs w:val="24"/>
              </w:rPr>
              <w:t>3.387</w:t>
            </w:r>
          </w:p>
        </w:tc>
      </w:tr>
      <w:tr w:rsidR="001755B5" w:rsidRPr="0032600A" w14:paraId="57D83856" w14:textId="77777777" w:rsidTr="00E52D07">
        <w:trPr>
          <w:trHeight w:val="432"/>
          <w:jc w:val="center"/>
        </w:trPr>
        <w:tc>
          <w:tcPr>
            <w:tcW w:w="1135" w:type="pct"/>
            <w:vMerge/>
            <w:vAlign w:val="center"/>
          </w:tcPr>
          <w:p w14:paraId="498187F2" w14:textId="77777777" w:rsidR="001755B5" w:rsidRPr="0032600A" w:rsidRDefault="001755B5" w:rsidP="001755B5">
            <w:pPr>
              <w:jc w:val="center"/>
            </w:pPr>
          </w:p>
        </w:tc>
        <w:tc>
          <w:tcPr>
            <w:tcW w:w="3865" w:type="pct"/>
            <w:gridSpan w:val="6"/>
            <w:vAlign w:val="center"/>
          </w:tcPr>
          <w:p w14:paraId="0949308D" w14:textId="77777777" w:rsidR="001755B5" w:rsidRPr="0032600A" w:rsidRDefault="001755B5" w:rsidP="001755B5">
            <w:pPr>
              <w:pStyle w:val="NoSpacing"/>
              <w:spacing w:after="60"/>
              <w:jc w:val="center"/>
              <w:rPr>
                <w:rFonts w:ascii="Times New Roman" w:hAnsi="Times New Roman"/>
                <w:sz w:val="24"/>
                <w:szCs w:val="24"/>
              </w:rPr>
            </w:pPr>
            <w:r w:rsidRPr="0061339B">
              <w:rPr>
                <w:rFonts w:ascii="Times New Roman" w:hAnsi="Times New Roman"/>
                <w:sz w:val="24"/>
                <w:szCs w:val="24"/>
              </w:rPr>
              <w:t xml:space="preserve">Two-sample t test: difference = </w:t>
            </w:r>
            <w:r>
              <w:rPr>
                <w:rFonts w:ascii="Times New Roman" w:hAnsi="Times New Roman"/>
                <w:sz w:val="24"/>
                <w:szCs w:val="24"/>
              </w:rPr>
              <w:t>–</w:t>
            </w:r>
            <w:r w:rsidRPr="0061339B">
              <w:rPr>
                <w:rFonts w:ascii="Times New Roman" w:hAnsi="Times New Roman"/>
                <w:sz w:val="24"/>
                <w:szCs w:val="24"/>
              </w:rPr>
              <w:t xml:space="preserve">0.203, SE = 0.023, </w:t>
            </w:r>
            <w:r w:rsidRPr="0061339B">
              <w:rPr>
                <w:rFonts w:ascii="Times New Roman" w:hAnsi="Times New Roman"/>
                <w:i/>
                <w:iCs/>
                <w:sz w:val="24"/>
                <w:szCs w:val="24"/>
              </w:rPr>
              <w:t>p</w:t>
            </w:r>
            <w:r w:rsidRPr="0061339B">
              <w:rPr>
                <w:rFonts w:ascii="Times New Roman" w:hAnsi="Times New Roman"/>
                <w:sz w:val="24"/>
                <w:szCs w:val="24"/>
              </w:rPr>
              <w:t xml:space="preserve"> &lt; 0.001. Effect size = 0.194.</w:t>
            </w:r>
          </w:p>
        </w:tc>
      </w:tr>
    </w:tbl>
    <w:p w14:paraId="1CF60E0A" w14:textId="77777777" w:rsidR="001755B5" w:rsidRDefault="001755B5" w:rsidP="001755B5">
      <w:pPr>
        <w:pStyle w:val="standard"/>
        <w:spacing w:line="240" w:lineRule="auto"/>
        <w:ind w:left="1080" w:firstLine="0"/>
        <w:contextualSpacing/>
        <w:mirrorIndents/>
        <w:rPr>
          <w:rFonts w:cs="Arial"/>
          <w:szCs w:val="24"/>
        </w:rPr>
      </w:pPr>
    </w:p>
    <w:p w14:paraId="26856476" w14:textId="77777777" w:rsidR="00746989" w:rsidRDefault="00746989">
      <w:pPr>
        <w:rPr>
          <w:rFonts w:cs="Arial"/>
          <w:b/>
          <w:bCs/>
          <w:iCs/>
        </w:rPr>
      </w:pPr>
      <w:r>
        <w:rPr>
          <w:rFonts w:cs="Arial"/>
          <w:b/>
          <w:bCs/>
          <w:iCs/>
        </w:rPr>
        <w:br w:type="page"/>
      </w:r>
    </w:p>
    <w:p w14:paraId="142F91E2" w14:textId="52358AA6" w:rsidR="00EE0205" w:rsidRPr="000F3BFB" w:rsidRDefault="00EE0205" w:rsidP="000F3BFB">
      <w:pPr>
        <w:rPr>
          <w:b/>
        </w:rPr>
      </w:pPr>
      <w:r w:rsidRPr="000F3BFB">
        <w:rPr>
          <w:b/>
        </w:rPr>
        <w:lastRenderedPageBreak/>
        <w:t>Figure 3</w:t>
      </w:r>
    </w:p>
    <w:p w14:paraId="666BB9A3" w14:textId="77777777" w:rsidR="00746989" w:rsidRPr="00CE70AA" w:rsidRDefault="00746989" w:rsidP="00746989">
      <w:pPr>
        <w:rPr>
          <w:rFonts w:cs="Arial"/>
        </w:rPr>
      </w:pPr>
      <w:r>
        <w:rPr>
          <w:rFonts w:cs="Arial" w:hint="eastAsia"/>
          <w:b/>
          <w:bCs/>
          <w:iCs/>
        </w:rPr>
        <w:t>A</w:t>
      </w:r>
    </w:p>
    <w:p w14:paraId="4DBD99F3" w14:textId="77777777" w:rsidR="00746989" w:rsidRPr="00DF67C3" w:rsidRDefault="00746989" w:rsidP="00746989">
      <w:pPr>
        <w:pStyle w:val="standard"/>
        <w:ind w:firstLine="0"/>
        <w:rPr>
          <w:rFonts w:cs="Arial"/>
          <w:i/>
          <w:szCs w:val="24"/>
        </w:rPr>
      </w:pPr>
      <w:r>
        <w:rPr>
          <w:noProof/>
        </w:rPr>
        <w:drawing>
          <wp:inline distT="0" distB="0" distL="0" distR="0" wp14:anchorId="17064D02" wp14:editId="67C501F8">
            <wp:extent cx="4988694" cy="3453713"/>
            <wp:effectExtent l="0" t="0" r="2540" b="127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048117" cy="3494852"/>
                    </a:xfrm>
                    <a:prstGeom prst="rect">
                      <a:avLst/>
                    </a:prstGeom>
                  </pic:spPr>
                </pic:pic>
              </a:graphicData>
            </a:graphic>
          </wp:inline>
        </w:drawing>
      </w:r>
    </w:p>
    <w:p w14:paraId="7DC7E327" w14:textId="77777777" w:rsidR="00746989" w:rsidRDefault="00746989" w:rsidP="00746989">
      <w:pPr>
        <w:rPr>
          <w:rFonts w:cs="Arial"/>
          <w:iCs/>
        </w:rPr>
      </w:pPr>
      <w:r w:rsidRPr="00CE70AA">
        <w:rPr>
          <w:rFonts w:cs="Arial"/>
          <w:iCs/>
        </w:rPr>
        <w:t xml:space="preserve">Comparing </w:t>
      </w:r>
      <w:r>
        <w:rPr>
          <w:rFonts w:cs="Arial"/>
          <w:iCs/>
        </w:rPr>
        <w:t>p</w:t>
      </w:r>
      <w:r w:rsidRPr="00CE70AA">
        <w:rPr>
          <w:rFonts w:cs="Arial"/>
          <w:iCs/>
        </w:rPr>
        <w:t xml:space="preserve">osttests between </w:t>
      </w:r>
      <w:r w:rsidRPr="00CE70AA">
        <w:rPr>
          <w:rFonts w:cs="Arial"/>
          <w:i/>
        </w:rPr>
        <w:t>Carbon TIME</w:t>
      </w:r>
      <w:r w:rsidRPr="00CE70AA">
        <w:rPr>
          <w:rFonts w:cs="Arial"/>
          <w:iCs/>
        </w:rPr>
        <w:t xml:space="preserve"> and non-</w:t>
      </w:r>
      <w:r w:rsidRPr="00CE70AA">
        <w:rPr>
          <w:rFonts w:cs="Arial"/>
          <w:i/>
        </w:rPr>
        <w:t>Carbon TIME</w:t>
      </w:r>
      <w:r w:rsidRPr="00CE70AA">
        <w:rPr>
          <w:rFonts w:cs="Arial"/>
          <w:iCs/>
        </w:rPr>
        <w:t xml:space="preserve"> </w:t>
      </w:r>
      <w:r>
        <w:rPr>
          <w:rFonts w:cs="Arial"/>
          <w:iCs/>
        </w:rPr>
        <w:t>s</w:t>
      </w:r>
      <w:r w:rsidRPr="00CE70AA">
        <w:rPr>
          <w:rFonts w:cs="Arial"/>
          <w:iCs/>
        </w:rPr>
        <w:t>tudents</w:t>
      </w:r>
    </w:p>
    <w:p w14:paraId="7862543D" w14:textId="77777777" w:rsidR="00746989" w:rsidRDefault="00746989" w:rsidP="00746989">
      <w:pPr>
        <w:rPr>
          <w:rFonts w:cs="Arial"/>
          <w:iCs/>
        </w:rPr>
      </w:pPr>
      <w:r w:rsidRPr="00CE70AA">
        <w:rPr>
          <w:rFonts w:cs="Arial"/>
          <w:iCs/>
        </w:rPr>
        <w:t xml:space="preserve">B </w:t>
      </w:r>
    </w:p>
    <w:p w14:paraId="6F4698C6" w14:textId="77777777" w:rsidR="00746989" w:rsidRPr="00FC6894" w:rsidRDefault="00746989" w:rsidP="00746989">
      <w:pPr>
        <w:rPr>
          <w:rFonts w:cs="Arial"/>
          <w:b/>
          <w:bCs/>
          <w:iCs/>
        </w:rPr>
      </w:pPr>
      <w:r>
        <w:rPr>
          <w:noProof/>
        </w:rPr>
        <w:drawing>
          <wp:inline distT="0" distB="0" distL="0" distR="0" wp14:anchorId="0BE9626F" wp14:editId="1371FFEA">
            <wp:extent cx="4699492" cy="3256005"/>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4728101" cy="3275826"/>
                    </a:xfrm>
                    <a:prstGeom prst="rect">
                      <a:avLst/>
                    </a:prstGeom>
                  </pic:spPr>
                </pic:pic>
              </a:graphicData>
            </a:graphic>
          </wp:inline>
        </w:drawing>
      </w:r>
    </w:p>
    <w:p w14:paraId="025FE470" w14:textId="77777777" w:rsidR="00746989" w:rsidRDefault="00746989" w:rsidP="00746989">
      <w:pPr>
        <w:rPr>
          <w:rFonts w:cs="Arial"/>
          <w:iCs/>
        </w:rPr>
      </w:pPr>
      <w:r w:rsidRPr="00CE70AA">
        <w:rPr>
          <w:rFonts w:cs="Arial"/>
          <w:iCs/>
        </w:rPr>
        <w:t xml:space="preserve">Comparing </w:t>
      </w:r>
      <w:r w:rsidRPr="00CE70AA">
        <w:rPr>
          <w:rFonts w:cs="Arial"/>
          <w:i/>
        </w:rPr>
        <w:t>Carbon TIME</w:t>
      </w:r>
      <w:r w:rsidRPr="00CE70AA">
        <w:rPr>
          <w:rFonts w:cs="Arial"/>
          <w:iCs/>
        </w:rPr>
        <w:t xml:space="preserve"> </w:t>
      </w:r>
      <w:r>
        <w:rPr>
          <w:rFonts w:cs="Arial"/>
          <w:iCs/>
        </w:rPr>
        <w:t>p</w:t>
      </w:r>
      <w:r w:rsidRPr="00CE70AA">
        <w:rPr>
          <w:rFonts w:cs="Arial"/>
          <w:iCs/>
        </w:rPr>
        <w:t xml:space="preserve">retests and </w:t>
      </w:r>
      <w:r>
        <w:rPr>
          <w:rFonts w:cs="Arial"/>
          <w:iCs/>
        </w:rPr>
        <w:t>p</w:t>
      </w:r>
      <w:r w:rsidRPr="00CE70AA">
        <w:rPr>
          <w:rFonts w:cs="Arial"/>
          <w:iCs/>
        </w:rPr>
        <w:t>osttests</w:t>
      </w:r>
    </w:p>
    <w:p w14:paraId="33CB3D95" w14:textId="77777777" w:rsidR="001755B5" w:rsidRPr="00746989" w:rsidRDefault="00746989" w:rsidP="00746989">
      <w:pPr>
        <w:rPr>
          <w:rFonts w:cs="Arial"/>
          <w:iCs/>
        </w:rPr>
      </w:pPr>
      <w:r w:rsidRPr="00FA098F">
        <w:rPr>
          <w:rFonts w:cs="Arial" w:hint="eastAsia"/>
          <w:i/>
        </w:rPr>
        <w:t>N</w:t>
      </w:r>
      <w:r w:rsidRPr="00FA098F">
        <w:rPr>
          <w:rFonts w:cs="Arial"/>
          <w:i/>
        </w:rPr>
        <w:t>ote.</w:t>
      </w:r>
      <w:r>
        <w:rPr>
          <w:rFonts w:cs="Arial"/>
          <w:i/>
        </w:rPr>
        <w:t xml:space="preserve"> </w:t>
      </w:r>
      <w:r>
        <w:t>B</w:t>
      </w:r>
      <w:r w:rsidRPr="001B48B4">
        <w:t xml:space="preserve">oth figures show consistent evidence of the </w:t>
      </w:r>
      <w:r w:rsidRPr="001B48B4">
        <w:rPr>
          <w:i/>
          <w:iCs/>
        </w:rPr>
        <w:t>Carbon Time</w:t>
      </w:r>
      <w:r w:rsidRPr="001B48B4">
        <w:t xml:space="preserve"> effect when compared with baseline defined by pre-</w:t>
      </w:r>
      <w:r w:rsidRPr="00F63051">
        <w:rPr>
          <w:i/>
          <w:iCs/>
        </w:rPr>
        <w:t>Carbon Time</w:t>
      </w:r>
      <w:r w:rsidRPr="001B48B4">
        <w:t xml:space="preserve"> experience or pre-test</w:t>
      </w:r>
      <w:r>
        <w:t>.</w:t>
      </w:r>
    </w:p>
    <w:p w14:paraId="064981A6" w14:textId="6A58F8E5" w:rsidR="007A02C6" w:rsidRPr="00CE70AA" w:rsidRDefault="007A02C6" w:rsidP="00AD747F">
      <w:pPr>
        <w:pStyle w:val="standard"/>
      </w:pPr>
      <w:r w:rsidRPr="00CE70AA">
        <w:lastRenderedPageBreak/>
        <w:t xml:space="preserve">The second part of Table 3 summarizes the findings when we compared </w:t>
      </w:r>
      <w:r>
        <w:t xml:space="preserve">full </w:t>
      </w:r>
      <w:r w:rsidRPr="00CE70AA">
        <w:t xml:space="preserve">pretests and </w:t>
      </w:r>
      <w:r>
        <w:t xml:space="preserve">average unit </w:t>
      </w:r>
      <w:r w:rsidRPr="00CE70AA">
        <w:t xml:space="preserve">posttests from the same students taught by the same teachers with </w:t>
      </w:r>
      <w:r w:rsidRPr="00CE70AA">
        <w:rPr>
          <w:i/>
        </w:rPr>
        <w:t>Carbon TIME</w:t>
      </w:r>
      <w:r w:rsidRPr="00CE70AA">
        <w:t xml:space="preserve"> (the second approach, using analytical sample 2 in Table 1). Figure </w:t>
      </w:r>
      <w:r>
        <w:t>3</w:t>
      </w:r>
      <w:r w:rsidRPr="00CE70AA">
        <w:t>B displays the results, where pink shows the distribution of the pretests and light blue shows the distribution of posttests. The average student proficiency increased from –1.44 logits on the pretest to 0.40 logits on the posttest on average, indicating an overall average gain score of around 1.8</w:t>
      </w:r>
      <w:r>
        <w:t>3</w:t>
      </w:r>
      <w:r w:rsidRPr="00CE70AA">
        <w:t xml:space="preserve"> logits (effect size = 1.42, </w:t>
      </w:r>
      <w:r w:rsidRPr="00003373">
        <w:rPr>
          <w:i/>
          <w:iCs/>
        </w:rPr>
        <w:t>p</w:t>
      </w:r>
      <w:r w:rsidRPr="00CE70AA">
        <w:t xml:space="preserve"> &lt; 0.001). Most students achieved level 3 or level 4 on the</w:t>
      </w:r>
      <w:r>
        <w:t xml:space="preserve"> </w:t>
      </w:r>
      <w:r w:rsidR="00CA01C8">
        <w:t>unit</w:t>
      </w:r>
      <w:r w:rsidRPr="00CE70AA">
        <w:t xml:space="preserve"> posttest</w:t>
      </w:r>
      <w:r w:rsidR="00CA01C8">
        <w:t>s</w:t>
      </w:r>
      <w:r w:rsidRPr="00CE70AA">
        <w:t xml:space="preserve">. </w:t>
      </w:r>
    </w:p>
    <w:p w14:paraId="5DAB5B99" w14:textId="7236AE2F" w:rsidR="00030661" w:rsidRPr="0032600A" w:rsidRDefault="00030661" w:rsidP="00A2245C">
      <w:pPr>
        <w:pStyle w:val="standard"/>
        <w:numPr>
          <w:ilvl w:val="0"/>
          <w:numId w:val="34"/>
        </w:numPr>
      </w:pPr>
      <w:r>
        <w:t>On the pretest 6</w:t>
      </w:r>
      <w:r w:rsidRPr="004665B2">
        <w:t>%</w:t>
      </w:r>
      <w:r w:rsidRPr="0032600A">
        <w:t xml:space="preserve"> of the students</w:t>
      </w:r>
      <w:r w:rsidR="0076266C" w:rsidRPr="0032600A">
        <w:t xml:space="preserve"> </w:t>
      </w:r>
      <w:r w:rsidRPr="0032600A">
        <w:t xml:space="preserve">most likely </w:t>
      </w:r>
      <w:r w:rsidR="0076266C">
        <w:t>achieved</w:t>
      </w:r>
      <w:r w:rsidR="0076266C" w:rsidRPr="0032600A" w:rsidDel="0076266C">
        <w:t xml:space="preserve"> </w:t>
      </w:r>
      <w:r w:rsidRPr="0032600A">
        <w:t xml:space="preserve">level 3 and </w:t>
      </w:r>
      <w:r>
        <w:t>0.3</w:t>
      </w:r>
      <w:r w:rsidRPr="0032600A">
        <w:t xml:space="preserve">% of students most likely </w:t>
      </w:r>
      <w:r w:rsidR="0076266C">
        <w:t>achieved</w:t>
      </w:r>
      <w:r w:rsidR="0076266C" w:rsidRPr="0032600A" w:rsidDel="0076266C">
        <w:t xml:space="preserve"> </w:t>
      </w:r>
      <w:r w:rsidRPr="0032600A">
        <w:t>level 4</w:t>
      </w:r>
      <w:r w:rsidR="00BF3E4A">
        <w:t>.</w:t>
      </w:r>
    </w:p>
    <w:p w14:paraId="11E5DCB8" w14:textId="3423F73C" w:rsidR="00030661" w:rsidRDefault="00057DC6" w:rsidP="00A2245C">
      <w:pPr>
        <w:pStyle w:val="standard"/>
        <w:numPr>
          <w:ilvl w:val="0"/>
          <w:numId w:val="34"/>
        </w:numPr>
      </w:pPr>
      <w:r>
        <w:t>On the unit posttests</w:t>
      </w:r>
      <w:r w:rsidR="00030661" w:rsidRPr="0032600A">
        <w:t xml:space="preserve"> </w:t>
      </w:r>
      <w:r w:rsidR="00030661">
        <w:t>3</w:t>
      </w:r>
      <w:r w:rsidR="00F33A8A">
        <w:t>9</w:t>
      </w:r>
      <w:r w:rsidR="00030661" w:rsidRPr="0032600A">
        <w:t xml:space="preserve">% of the students most likely </w:t>
      </w:r>
      <w:r w:rsidR="0076266C">
        <w:t>achieved</w:t>
      </w:r>
      <w:r w:rsidR="0076266C" w:rsidRPr="0032600A" w:rsidDel="0076266C">
        <w:t xml:space="preserve"> </w:t>
      </w:r>
      <w:r w:rsidR="00030661" w:rsidRPr="0032600A">
        <w:t xml:space="preserve">level 3 and </w:t>
      </w:r>
      <w:r w:rsidR="00F33A8A">
        <w:t>30</w:t>
      </w:r>
      <w:r w:rsidR="00030661" w:rsidRPr="0032600A">
        <w:t xml:space="preserve">% of students mostly likely </w:t>
      </w:r>
      <w:r w:rsidR="0076266C">
        <w:t>achieved</w:t>
      </w:r>
      <w:r w:rsidR="0076266C" w:rsidRPr="0032600A" w:rsidDel="0076266C">
        <w:t xml:space="preserve"> </w:t>
      </w:r>
      <w:r w:rsidR="00030661" w:rsidRPr="0032600A">
        <w:t xml:space="preserve">level 4. </w:t>
      </w:r>
    </w:p>
    <w:p w14:paraId="3C428D7E" w14:textId="72CD9477" w:rsidR="007A02C6" w:rsidRPr="00CE70AA" w:rsidRDefault="007A02C6" w:rsidP="00503271">
      <w:pPr>
        <w:pStyle w:val="standard"/>
        <w:rPr>
          <w:i/>
          <w:lang w:eastAsia="zh-CN"/>
        </w:rPr>
      </w:pPr>
      <w:r w:rsidRPr="00CE70AA">
        <w:t>Additionally, we compare</w:t>
      </w:r>
      <w:r w:rsidR="00025A4E">
        <w:t>d</w:t>
      </w:r>
      <w:r w:rsidRPr="00CE70AA">
        <w:t xml:space="preserve"> the average </w:t>
      </w:r>
      <w:r>
        <w:t xml:space="preserve">full </w:t>
      </w:r>
      <w:r w:rsidRPr="00CE70AA">
        <w:rPr>
          <w:i/>
        </w:rPr>
        <w:t>pretest</w:t>
      </w:r>
      <w:r w:rsidRPr="00CE70AA">
        <w:t xml:space="preserve"> of students who learned </w:t>
      </w:r>
      <w:r w:rsidRPr="00CE70AA">
        <w:rPr>
          <w:i/>
        </w:rPr>
        <w:t>Carbon TIME</w:t>
      </w:r>
      <w:r w:rsidRPr="00CE70AA">
        <w:rPr>
          <w:i/>
        </w:rPr>
        <w:t xml:space="preserve"> </w:t>
      </w:r>
      <w:r w:rsidRPr="00CE70AA">
        <w:t xml:space="preserve">with the average </w:t>
      </w:r>
      <w:r w:rsidR="00B10F54">
        <w:rPr>
          <w:i/>
          <w:iCs/>
        </w:rPr>
        <w:t xml:space="preserve">baseline </w:t>
      </w:r>
      <w:r w:rsidRPr="00CE70AA">
        <w:rPr>
          <w:i/>
        </w:rPr>
        <w:t>posttest</w:t>
      </w:r>
      <w:r w:rsidRPr="00CE70AA">
        <w:t xml:space="preserve"> of students who learned other curricula (</w:t>
      </w:r>
      <w:r w:rsidR="001353A3">
        <w:t>using analytical sample 1</w:t>
      </w:r>
      <w:r w:rsidRPr="00CE70AA">
        <w:t xml:space="preserve">). </w:t>
      </w:r>
      <w:r w:rsidR="000D2F46">
        <w:t>T</w:t>
      </w:r>
      <w:r w:rsidRPr="00CE70AA">
        <w:t>he difference was</w:t>
      </w:r>
      <w:r>
        <w:t xml:space="preserve"> </w:t>
      </w:r>
      <w:r w:rsidR="008C376F" w:rsidRPr="00CE70AA">
        <w:t>0.20 logits (effect size = 0.19</w:t>
      </w:r>
      <w:r w:rsidR="001353A3">
        <w:t>, see the last part of Table 3</w:t>
      </w:r>
      <w:r w:rsidR="008C376F" w:rsidRPr="00CE70AA">
        <w:t>)</w:t>
      </w:r>
      <w:r w:rsidR="00EC39DE">
        <w:t>:</w:t>
      </w:r>
      <w:r w:rsidRPr="00CE70AA">
        <w:t xml:space="preserve"> statistically significant but small in terms of educational significance</w:t>
      </w:r>
      <w:r w:rsidR="00A2245C">
        <w:t>.</w:t>
      </w:r>
      <w:r w:rsidRPr="00CE70AA">
        <w:t xml:space="preserve"> This</w:t>
      </w:r>
      <w:r w:rsidR="00FA7498">
        <w:t xml:space="preserve"> finding</w:t>
      </w:r>
      <w:r w:rsidRPr="00CE70AA">
        <w:t xml:space="preserve"> indicates that the </w:t>
      </w:r>
      <w:r w:rsidR="00FA7498">
        <w:t>more traditional</w:t>
      </w:r>
      <w:r w:rsidR="00FA7498" w:rsidRPr="00CE70AA">
        <w:t xml:space="preserve"> </w:t>
      </w:r>
      <w:r w:rsidRPr="00CE70AA">
        <w:t xml:space="preserve">curricula previously used by the teachers were </w:t>
      </w:r>
      <w:r>
        <w:t>minimally</w:t>
      </w:r>
      <w:r w:rsidRPr="00CE70AA">
        <w:t xml:space="preserve"> effective in helping students master the three-dimensional performances included in the</w:t>
      </w:r>
      <w:r w:rsidR="009A6E95">
        <w:t xml:space="preserve"> </w:t>
      </w:r>
      <w:r w:rsidRPr="00CE70AA">
        <w:rPr>
          <w:i/>
        </w:rPr>
        <w:t>Carbon TIME</w:t>
      </w:r>
      <w:r w:rsidR="009A6E95">
        <w:t xml:space="preserve"> </w:t>
      </w:r>
      <w:r w:rsidRPr="00CE70AA">
        <w:t>assessments</w:t>
      </w:r>
      <w:r w:rsidRPr="00CE70AA">
        <w:rPr>
          <w:i/>
        </w:rPr>
        <w:t>.</w:t>
      </w:r>
    </w:p>
    <w:p w14:paraId="1D33E003" w14:textId="53C5A0B3" w:rsidR="00DC4932" w:rsidRDefault="007A02C6" w:rsidP="00D12A4B">
      <w:pPr>
        <w:pStyle w:val="standard"/>
      </w:pPr>
      <w:r w:rsidRPr="00CE70AA">
        <w:rPr>
          <w:b/>
        </w:rPr>
        <w:t xml:space="preserve">Finding 1.b: Within classrooms, students with lower pretest scores had higher learning gains. </w:t>
      </w:r>
      <w:r w:rsidR="00AC1E19">
        <w:t>As discussed in the methods section, w</w:t>
      </w:r>
      <w:r w:rsidRPr="00CE70AA">
        <w:t xml:space="preserve">e decomposed the factor of students’ prior knowledge (measured by students’ pretests) into two parts: within-class and between-class. The within-class component measured the difference between an individual student’s pretest and the student’s classroom’s average pretest. The between-class component measured the class </w:t>
      </w:r>
      <w:r w:rsidRPr="00CE70AA">
        <w:lastRenderedPageBreak/>
        <w:t xml:space="preserve">average pretest. The results indicated that within classes, students with lower pretest proficiencies showed significantly higher learning gains, as reflected by the coefficient of –0.507 (p &lt; 0.001) for deviation from </w:t>
      </w:r>
      <w:r w:rsidR="000B5C97">
        <w:t xml:space="preserve">the </w:t>
      </w:r>
      <w:r w:rsidRPr="00CE70AA">
        <w:t>class average pretest in Table 4. For example, if a student has a pretest that is 0.1</w:t>
      </w:r>
      <w:r w:rsidR="000B5C97">
        <w:t xml:space="preserve"> logits</w:t>
      </w:r>
      <w:r w:rsidRPr="00CE70AA">
        <w:t xml:space="preserve"> below </w:t>
      </w:r>
      <w:r w:rsidR="00B546C1">
        <w:t>their</w:t>
      </w:r>
      <w:r w:rsidRPr="00CE70AA">
        <w:t xml:space="preserve"> classroom average, then </w:t>
      </w:r>
      <w:r w:rsidR="00C876FB">
        <w:t>their</w:t>
      </w:r>
      <w:r w:rsidRPr="00CE70AA">
        <w:t xml:space="preserve"> value for this variable is –0.1. When multiplied by the coefficient of –0.507, we get a positive value of 0.</w:t>
      </w:r>
      <w:r w:rsidR="00B10F54">
        <w:t>0</w:t>
      </w:r>
      <w:r w:rsidRPr="00CE70AA">
        <w:t xml:space="preserve">507, indicating this student’s </w:t>
      </w:r>
      <w:r w:rsidR="001E550A">
        <w:t xml:space="preserve">expected </w:t>
      </w:r>
      <w:r w:rsidRPr="00CE70AA">
        <w:t>gain score is 0.</w:t>
      </w:r>
      <w:r w:rsidR="00B10F54">
        <w:t>0</w:t>
      </w:r>
      <w:r w:rsidRPr="00CE70AA">
        <w:t>507</w:t>
      </w:r>
      <w:r>
        <w:t xml:space="preserve"> </w:t>
      </w:r>
      <w:r w:rsidR="00696CDC">
        <w:t>logits</w:t>
      </w:r>
      <w:r w:rsidRPr="00CE70AA">
        <w:t xml:space="preserve"> higher than an average student’s gain score in the classroom.    </w:t>
      </w:r>
    </w:p>
    <w:p w14:paraId="594CFE61" w14:textId="6133B4DC" w:rsidR="00404EEC" w:rsidRPr="000F3BFB" w:rsidRDefault="00DC4932" w:rsidP="000F3BFB">
      <w:pPr>
        <w:pStyle w:val="standard"/>
        <w:spacing w:line="240" w:lineRule="auto"/>
        <w:ind w:firstLine="0"/>
        <w:rPr>
          <w:b/>
        </w:rPr>
      </w:pPr>
      <w:r w:rsidRPr="000F3BFB">
        <w:rPr>
          <w:b/>
        </w:rPr>
        <w:t>Table 4</w:t>
      </w:r>
    </w:p>
    <w:p w14:paraId="58C7DA0A" w14:textId="77777777" w:rsidR="00404EEC" w:rsidRPr="00404EEC" w:rsidRDefault="00404EEC" w:rsidP="00404EEC">
      <w:pPr>
        <w:pStyle w:val="standard"/>
        <w:ind w:firstLine="0"/>
        <w:rPr>
          <w:b/>
          <w:bCs/>
          <w:iCs/>
          <w:szCs w:val="24"/>
        </w:rPr>
      </w:pPr>
      <w:r w:rsidRPr="00CE70AA">
        <w:rPr>
          <w:rFonts w:cs="Arial"/>
          <w:i/>
          <w:iCs/>
          <w:szCs w:val="22"/>
        </w:rPr>
        <w:t>Parameter Estimates for Two-level Hierarchical Linear Models 2, 3 and 4</w:t>
      </w:r>
    </w:p>
    <w:tbl>
      <w:tblPr>
        <w:tblpPr w:leftFromText="180" w:rightFromText="180" w:vertAnchor="text" w:horzAnchor="margin" w:tblpY="-18"/>
        <w:tblW w:w="4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2973"/>
        <w:gridCol w:w="1584"/>
        <w:gridCol w:w="1584"/>
        <w:gridCol w:w="1584"/>
      </w:tblGrid>
      <w:tr w:rsidR="00404EEC" w:rsidRPr="00CE70AA" w14:paraId="7DEA718B" w14:textId="77777777" w:rsidTr="00E52D07">
        <w:tc>
          <w:tcPr>
            <w:tcW w:w="1924" w:type="pct"/>
          </w:tcPr>
          <w:p w14:paraId="06048602" w14:textId="77777777" w:rsidR="00404EEC" w:rsidRPr="00CE70AA" w:rsidRDefault="00404EEC" w:rsidP="00E52D07">
            <w:pPr>
              <w:widowControl w:val="0"/>
              <w:autoSpaceDE w:val="0"/>
              <w:autoSpaceDN w:val="0"/>
              <w:adjustRightInd w:val="0"/>
              <w:rPr>
                <w:rFonts w:cs="Arial"/>
              </w:rPr>
            </w:pPr>
            <w:r w:rsidRPr="00CE70AA">
              <w:rPr>
                <w:rFonts w:cs="Arial"/>
              </w:rPr>
              <w:t xml:space="preserve">Outcome: Gain score </w:t>
            </w:r>
          </w:p>
        </w:tc>
        <w:tc>
          <w:tcPr>
            <w:tcW w:w="1025" w:type="pct"/>
          </w:tcPr>
          <w:p w14:paraId="76959C11" w14:textId="77777777" w:rsidR="00404EEC" w:rsidRPr="00CE70AA" w:rsidRDefault="00404EEC" w:rsidP="00E52D07">
            <w:pPr>
              <w:widowControl w:val="0"/>
              <w:autoSpaceDE w:val="0"/>
              <w:autoSpaceDN w:val="0"/>
              <w:adjustRightInd w:val="0"/>
              <w:jc w:val="center"/>
              <w:rPr>
                <w:rFonts w:cs="Arial"/>
              </w:rPr>
            </w:pPr>
            <w:r w:rsidRPr="00CE70AA">
              <w:rPr>
                <w:rFonts w:cs="Arial"/>
              </w:rPr>
              <w:t>Model 2</w:t>
            </w:r>
          </w:p>
        </w:tc>
        <w:tc>
          <w:tcPr>
            <w:tcW w:w="1025" w:type="pct"/>
          </w:tcPr>
          <w:p w14:paraId="649131DB" w14:textId="77777777" w:rsidR="00404EEC" w:rsidRPr="00CE70AA" w:rsidRDefault="00404EEC" w:rsidP="00E52D07">
            <w:pPr>
              <w:widowControl w:val="0"/>
              <w:autoSpaceDE w:val="0"/>
              <w:autoSpaceDN w:val="0"/>
              <w:adjustRightInd w:val="0"/>
              <w:jc w:val="center"/>
              <w:rPr>
                <w:rFonts w:cs="Arial"/>
              </w:rPr>
            </w:pPr>
            <w:r>
              <w:rPr>
                <w:rFonts w:cs="Arial" w:hint="eastAsia"/>
              </w:rPr>
              <w:t>M</w:t>
            </w:r>
            <w:r>
              <w:rPr>
                <w:rFonts w:cs="Arial"/>
              </w:rPr>
              <w:t>odel 3</w:t>
            </w:r>
          </w:p>
        </w:tc>
        <w:tc>
          <w:tcPr>
            <w:tcW w:w="1025" w:type="pct"/>
          </w:tcPr>
          <w:p w14:paraId="31329E2A" w14:textId="77777777" w:rsidR="00404EEC" w:rsidRPr="00CE70AA" w:rsidRDefault="00404EEC" w:rsidP="00E52D07">
            <w:pPr>
              <w:widowControl w:val="0"/>
              <w:autoSpaceDE w:val="0"/>
              <w:autoSpaceDN w:val="0"/>
              <w:adjustRightInd w:val="0"/>
              <w:jc w:val="center"/>
              <w:rPr>
                <w:rFonts w:cs="Arial"/>
              </w:rPr>
            </w:pPr>
            <w:r w:rsidRPr="00CE70AA">
              <w:rPr>
                <w:rFonts w:cs="Arial"/>
              </w:rPr>
              <w:t xml:space="preserve">Model </w:t>
            </w:r>
            <w:r>
              <w:rPr>
                <w:rFonts w:cs="Arial"/>
              </w:rPr>
              <w:t>4</w:t>
            </w:r>
          </w:p>
        </w:tc>
      </w:tr>
      <w:tr w:rsidR="00404EEC" w:rsidRPr="00CE70AA" w14:paraId="24B84855" w14:textId="77777777" w:rsidTr="00E52D07">
        <w:tc>
          <w:tcPr>
            <w:tcW w:w="1924" w:type="pct"/>
            <w:vMerge w:val="restart"/>
          </w:tcPr>
          <w:p w14:paraId="2612DBDB" w14:textId="77777777" w:rsidR="00404EEC" w:rsidRPr="00CE70AA" w:rsidRDefault="00404EEC" w:rsidP="00E52D07">
            <w:pPr>
              <w:rPr>
                <w:rFonts w:cs="Arial"/>
              </w:rPr>
            </w:pPr>
            <w:r w:rsidRPr="00CE70AA">
              <w:rPr>
                <w:rFonts w:cs="Arial"/>
              </w:rPr>
              <w:t>Deviation from class average pretest.</w:t>
            </w:r>
          </w:p>
        </w:tc>
        <w:tc>
          <w:tcPr>
            <w:tcW w:w="1025" w:type="pct"/>
          </w:tcPr>
          <w:p w14:paraId="3C892BDD" w14:textId="77777777" w:rsidR="00404EEC" w:rsidRPr="00CE70AA" w:rsidRDefault="00404EEC" w:rsidP="00E52D07">
            <w:pPr>
              <w:widowControl w:val="0"/>
              <w:autoSpaceDE w:val="0"/>
              <w:autoSpaceDN w:val="0"/>
              <w:adjustRightInd w:val="0"/>
              <w:jc w:val="center"/>
              <w:rPr>
                <w:rFonts w:cs="Arial"/>
              </w:rPr>
            </w:pPr>
            <w:r w:rsidRPr="00CE70AA">
              <w:rPr>
                <w:rFonts w:cs="Arial"/>
              </w:rPr>
              <w:t>–0.507***</w:t>
            </w:r>
          </w:p>
        </w:tc>
        <w:tc>
          <w:tcPr>
            <w:tcW w:w="1025" w:type="pct"/>
          </w:tcPr>
          <w:p w14:paraId="756485D0" w14:textId="77777777" w:rsidR="00404EEC" w:rsidRPr="00CE70AA" w:rsidRDefault="00404EEC" w:rsidP="00E52D07">
            <w:pPr>
              <w:widowControl w:val="0"/>
              <w:autoSpaceDE w:val="0"/>
              <w:autoSpaceDN w:val="0"/>
              <w:adjustRightInd w:val="0"/>
              <w:jc w:val="center"/>
              <w:rPr>
                <w:rFonts w:cs="Arial"/>
              </w:rPr>
            </w:pPr>
            <w:r w:rsidRPr="00CE70AA">
              <w:rPr>
                <w:rFonts w:cs="Arial"/>
              </w:rPr>
              <w:t>–0.507***</w:t>
            </w:r>
          </w:p>
        </w:tc>
        <w:tc>
          <w:tcPr>
            <w:tcW w:w="1025" w:type="pct"/>
          </w:tcPr>
          <w:p w14:paraId="2C6E762C" w14:textId="77777777" w:rsidR="00404EEC" w:rsidRPr="00CE70AA" w:rsidRDefault="00404EEC" w:rsidP="00E52D07">
            <w:pPr>
              <w:widowControl w:val="0"/>
              <w:autoSpaceDE w:val="0"/>
              <w:autoSpaceDN w:val="0"/>
              <w:adjustRightInd w:val="0"/>
              <w:jc w:val="center"/>
              <w:rPr>
                <w:rFonts w:cs="Arial"/>
              </w:rPr>
            </w:pPr>
            <w:r w:rsidRPr="00CE70AA">
              <w:rPr>
                <w:rFonts w:cs="Arial"/>
              </w:rPr>
              <w:t>–0.507***</w:t>
            </w:r>
          </w:p>
        </w:tc>
      </w:tr>
      <w:tr w:rsidR="00404EEC" w:rsidRPr="00CE70AA" w14:paraId="4314ACC7" w14:textId="77777777" w:rsidTr="00E52D07">
        <w:tc>
          <w:tcPr>
            <w:tcW w:w="1924" w:type="pct"/>
            <w:vMerge/>
          </w:tcPr>
          <w:p w14:paraId="4CBBB042" w14:textId="77777777" w:rsidR="00404EEC" w:rsidRPr="00CE70AA" w:rsidRDefault="00404EEC" w:rsidP="00E52D07">
            <w:pPr>
              <w:widowControl w:val="0"/>
              <w:autoSpaceDE w:val="0"/>
              <w:autoSpaceDN w:val="0"/>
              <w:adjustRightInd w:val="0"/>
              <w:rPr>
                <w:rFonts w:cs="Arial"/>
              </w:rPr>
            </w:pPr>
          </w:p>
        </w:tc>
        <w:tc>
          <w:tcPr>
            <w:tcW w:w="1025" w:type="pct"/>
          </w:tcPr>
          <w:p w14:paraId="5765A379" w14:textId="77777777" w:rsidR="00404EEC" w:rsidRPr="00CE70AA" w:rsidRDefault="00404EEC" w:rsidP="00E52D07">
            <w:pPr>
              <w:widowControl w:val="0"/>
              <w:autoSpaceDE w:val="0"/>
              <w:autoSpaceDN w:val="0"/>
              <w:adjustRightInd w:val="0"/>
              <w:jc w:val="center"/>
              <w:rPr>
                <w:rFonts w:cs="Arial"/>
              </w:rPr>
            </w:pPr>
            <w:r w:rsidRPr="00CE70AA">
              <w:rPr>
                <w:rFonts w:cs="Arial"/>
              </w:rPr>
              <w:t>(0.0101)</w:t>
            </w:r>
          </w:p>
        </w:tc>
        <w:tc>
          <w:tcPr>
            <w:tcW w:w="1025" w:type="pct"/>
          </w:tcPr>
          <w:p w14:paraId="713D4E71" w14:textId="77777777" w:rsidR="00404EEC" w:rsidRPr="00CE70AA" w:rsidRDefault="00404EEC" w:rsidP="00E52D07">
            <w:pPr>
              <w:widowControl w:val="0"/>
              <w:autoSpaceDE w:val="0"/>
              <w:autoSpaceDN w:val="0"/>
              <w:adjustRightInd w:val="0"/>
              <w:jc w:val="center"/>
              <w:rPr>
                <w:rFonts w:cs="Arial"/>
              </w:rPr>
            </w:pPr>
            <w:r w:rsidRPr="00CE70AA">
              <w:rPr>
                <w:rFonts w:cs="Arial"/>
              </w:rPr>
              <w:t>(0.0101)</w:t>
            </w:r>
          </w:p>
        </w:tc>
        <w:tc>
          <w:tcPr>
            <w:tcW w:w="1025" w:type="pct"/>
          </w:tcPr>
          <w:p w14:paraId="57F73E0F" w14:textId="77777777" w:rsidR="00404EEC" w:rsidRPr="00CE70AA" w:rsidRDefault="00404EEC" w:rsidP="00E52D07">
            <w:pPr>
              <w:widowControl w:val="0"/>
              <w:autoSpaceDE w:val="0"/>
              <w:autoSpaceDN w:val="0"/>
              <w:adjustRightInd w:val="0"/>
              <w:jc w:val="center"/>
              <w:rPr>
                <w:rFonts w:cs="Arial"/>
              </w:rPr>
            </w:pPr>
            <w:r w:rsidRPr="00CE70AA">
              <w:rPr>
                <w:rFonts w:cs="Arial"/>
              </w:rPr>
              <w:t>(0.0101)</w:t>
            </w:r>
          </w:p>
        </w:tc>
      </w:tr>
      <w:tr w:rsidR="00404EEC" w:rsidRPr="00CE70AA" w14:paraId="12A0CFAD" w14:textId="77777777" w:rsidTr="00E52D07">
        <w:tc>
          <w:tcPr>
            <w:tcW w:w="1924" w:type="pct"/>
            <w:vMerge w:val="restart"/>
          </w:tcPr>
          <w:p w14:paraId="0B351448" w14:textId="77777777" w:rsidR="00404EEC" w:rsidRPr="00CE70AA" w:rsidRDefault="00404EEC" w:rsidP="00E52D07">
            <w:pPr>
              <w:widowControl w:val="0"/>
              <w:autoSpaceDE w:val="0"/>
              <w:autoSpaceDN w:val="0"/>
              <w:adjustRightInd w:val="0"/>
              <w:rPr>
                <w:rFonts w:cs="Arial"/>
              </w:rPr>
            </w:pPr>
            <w:r w:rsidRPr="00CE70AA">
              <w:rPr>
                <w:rFonts w:cs="Arial"/>
              </w:rPr>
              <w:t xml:space="preserve">Class average pretest. </w:t>
            </w:r>
          </w:p>
        </w:tc>
        <w:tc>
          <w:tcPr>
            <w:tcW w:w="1025" w:type="pct"/>
          </w:tcPr>
          <w:p w14:paraId="0E57B44C" w14:textId="77777777" w:rsidR="00404EEC" w:rsidRPr="00CE70AA" w:rsidRDefault="00404EEC" w:rsidP="00E52D07">
            <w:pPr>
              <w:widowControl w:val="0"/>
              <w:autoSpaceDE w:val="0"/>
              <w:autoSpaceDN w:val="0"/>
              <w:adjustRightInd w:val="0"/>
              <w:jc w:val="center"/>
              <w:rPr>
                <w:rFonts w:cs="Arial"/>
              </w:rPr>
            </w:pPr>
            <w:r w:rsidRPr="00CE70AA">
              <w:rPr>
                <w:rFonts w:cs="Arial"/>
              </w:rPr>
              <w:t>–0.135</w:t>
            </w:r>
          </w:p>
        </w:tc>
        <w:tc>
          <w:tcPr>
            <w:tcW w:w="1025" w:type="pct"/>
          </w:tcPr>
          <w:p w14:paraId="55AC8C8B" w14:textId="77777777" w:rsidR="00404EEC" w:rsidRPr="00CE70AA" w:rsidRDefault="00404EEC" w:rsidP="00E52D07">
            <w:pPr>
              <w:widowControl w:val="0"/>
              <w:autoSpaceDE w:val="0"/>
              <w:autoSpaceDN w:val="0"/>
              <w:adjustRightInd w:val="0"/>
              <w:jc w:val="center"/>
              <w:rPr>
                <w:rFonts w:cs="Arial"/>
              </w:rPr>
            </w:pPr>
            <w:r w:rsidRPr="00CE70AA">
              <w:rPr>
                <w:rFonts w:cs="Arial"/>
              </w:rPr>
              <w:t>–0.0655</w:t>
            </w:r>
          </w:p>
        </w:tc>
        <w:tc>
          <w:tcPr>
            <w:tcW w:w="1025" w:type="pct"/>
          </w:tcPr>
          <w:p w14:paraId="57988E88" w14:textId="77777777" w:rsidR="00404EEC" w:rsidRPr="00CE70AA" w:rsidRDefault="00404EEC" w:rsidP="00E52D07">
            <w:pPr>
              <w:widowControl w:val="0"/>
              <w:autoSpaceDE w:val="0"/>
              <w:autoSpaceDN w:val="0"/>
              <w:adjustRightInd w:val="0"/>
              <w:jc w:val="center"/>
              <w:rPr>
                <w:rFonts w:cs="Arial"/>
              </w:rPr>
            </w:pPr>
            <w:r w:rsidRPr="00CE70AA">
              <w:rPr>
                <w:rFonts w:cs="Arial"/>
              </w:rPr>
              <w:t>–0.130</w:t>
            </w:r>
          </w:p>
        </w:tc>
      </w:tr>
      <w:tr w:rsidR="00404EEC" w:rsidRPr="00CE70AA" w14:paraId="7D59533C" w14:textId="77777777" w:rsidTr="00E52D07">
        <w:tc>
          <w:tcPr>
            <w:tcW w:w="1924" w:type="pct"/>
            <w:vMerge/>
          </w:tcPr>
          <w:p w14:paraId="3E4BD246" w14:textId="77777777" w:rsidR="00404EEC" w:rsidRPr="00CE70AA" w:rsidRDefault="00404EEC" w:rsidP="00E52D07">
            <w:pPr>
              <w:widowControl w:val="0"/>
              <w:autoSpaceDE w:val="0"/>
              <w:autoSpaceDN w:val="0"/>
              <w:adjustRightInd w:val="0"/>
              <w:rPr>
                <w:rFonts w:cs="Arial"/>
              </w:rPr>
            </w:pPr>
          </w:p>
        </w:tc>
        <w:tc>
          <w:tcPr>
            <w:tcW w:w="1025" w:type="pct"/>
          </w:tcPr>
          <w:p w14:paraId="7DCEAAA2" w14:textId="77777777" w:rsidR="00404EEC" w:rsidRPr="00CE70AA" w:rsidRDefault="00404EEC" w:rsidP="00E52D07">
            <w:pPr>
              <w:widowControl w:val="0"/>
              <w:autoSpaceDE w:val="0"/>
              <w:autoSpaceDN w:val="0"/>
              <w:adjustRightInd w:val="0"/>
              <w:jc w:val="center"/>
              <w:rPr>
                <w:rFonts w:cs="Arial"/>
              </w:rPr>
            </w:pPr>
            <w:r w:rsidRPr="00CE70AA">
              <w:rPr>
                <w:rFonts w:cs="Arial"/>
              </w:rPr>
              <w:t>(0.138)</w:t>
            </w:r>
          </w:p>
        </w:tc>
        <w:tc>
          <w:tcPr>
            <w:tcW w:w="1025" w:type="pct"/>
          </w:tcPr>
          <w:p w14:paraId="7C74F592" w14:textId="77777777" w:rsidR="00404EEC" w:rsidRPr="00CE70AA" w:rsidRDefault="00404EEC" w:rsidP="00E52D07">
            <w:pPr>
              <w:widowControl w:val="0"/>
              <w:autoSpaceDE w:val="0"/>
              <w:autoSpaceDN w:val="0"/>
              <w:adjustRightInd w:val="0"/>
              <w:jc w:val="center"/>
              <w:rPr>
                <w:rFonts w:cs="Arial"/>
              </w:rPr>
            </w:pPr>
            <w:r w:rsidRPr="00CE70AA">
              <w:rPr>
                <w:rFonts w:cs="Arial"/>
              </w:rPr>
              <w:t>(0.136)</w:t>
            </w:r>
          </w:p>
        </w:tc>
        <w:tc>
          <w:tcPr>
            <w:tcW w:w="1025" w:type="pct"/>
          </w:tcPr>
          <w:p w14:paraId="2DFDD175" w14:textId="77777777" w:rsidR="00404EEC" w:rsidRPr="00CE70AA" w:rsidRDefault="00404EEC" w:rsidP="00E52D07">
            <w:pPr>
              <w:widowControl w:val="0"/>
              <w:autoSpaceDE w:val="0"/>
              <w:autoSpaceDN w:val="0"/>
              <w:adjustRightInd w:val="0"/>
              <w:jc w:val="center"/>
              <w:rPr>
                <w:rFonts w:cs="Arial"/>
              </w:rPr>
            </w:pPr>
            <w:r w:rsidRPr="00CE70AA">
              <w:rPr>
                <w:rFonts w:cs="Arial"/>
              </w:rPr>
              <w:t>(0.134)</w:t>
            </w:r>
          </w:p>
        </w:tc>
      </w:tr>
      <w:tr w:rsidR="00404EEC" w:rsidRPr="00CE70AA" w14:paraId="007D4C7B" w14:textId="77777777" w:rsidTr="00E52D07">
        <w:tc>
          <w:tcPr>
            <w:tcW w:w="1924" w:type="pct"/>
            <w:vMerge w:val="restart"/>
          </w:tcPr>
          <w:p w14:paraId="66DB2DEA" w14:textId="77777777" w:rsidR="00404EEC" w:rsidRPr="00CE70AA" w:rsidRDefault="00404EEC" w:rsidP="00E52D07">
            <w:pPr>
              <w:widowControl w:val="0"/>
              <w:autoSpaceDE w:val="0"/>
              <w:autoSpaceDN w:val="0"/>
              <w:adjustRightInd w:val="0"/>
              <w:rPr>
                <w:rFonts w:cs="Arial"/>
              </w:rPr>
            </w:pPr>
            <w:r w:rsidRPr="00CE70AA">
              <w:rPr>
                <w:rFonts w:cs="Arial"/>
              </w:rPr>
              <w:t xml:space="preserve">Percent of free and reduced lunch. </w:t>
            </w:r>
          </w:p>
        </w:tc>
        <w:tc>
          <w:tcPr>
            <w:tcW w:w="1025" w:type="pct"/>
          </w:tcPr>
          <w:p w14:paraId="017D5370" w14:textId="77777777" w:rsidR="00404EEC" w:rsidRPr="00CE70AA" w:rsidRDefault="00404EEC" w:rsidP="00E52D07">
            <w:pPr>
              <w:widowControl w:val="0"/>
              <w:autoSpaceDE w:val="0"/>
              <w:autoSpaceDN w:val="0"/>
              <w:adjustRightInd w:val="0"/>
              <w:jc w:val="center"/>
              <w:rPr>
                <w:rFonts w:cs="Arial"/>
              </w:rPr>
            </w:pPr>
            <w:r w:rsidRPr="00CE70AA">
              <w:rPr>
                <w:rFonts w:cs="Arial"/>
              </w:rPr>
              <w:t>–1.077***</w:t>
            </w:r>
          </w:p>
        </w:tc>
        <w:tc>
          <w:tcPr>
            <w:tcW w:w="1025" w:type="pct"/>
          </w:tcPr>
          <w:p w14:paraId="3FF6929B" w14:textId="77777777" w:rsidR="00404EEC" w:rsidRPr="00CE70AA" w:rsidRDefault="00404EEC" w:rsidP="00E52D07">
            <w:pPr>
              <w:widowControl w:val="0"/>
              <w:autoSpaceDE w:val="0"/>
              <w:autoSpaceDN w:val="0"/>
              <w:adjustRightInd w:val="0"/>
              <w:jc w:val="center"/>
              <w:rPr>
                <w:rFonts w:cs="Arial"/>
              </w:rPr>
            </w:pPr>
            <w:r w:rsidRPr="00CE70AA">
              <w:rPr>
                <w:rFonts w:cs="Arial"/>
              </w:rPr>
              <w:t>–1.009***</w:t>
            </w:r>
          </w:p>
        </w:tc>
        <w:tc>
          <w:tcPr>
            <w:tcW w:w="1025" w:type="pct"/>
          </w:tcPr>
          <w:p w14:paraId="71631082" w14:textId="77777777" w:rsidR="00404EEC" w:rsidRPr="00CE70AA" w:rsidRDefault="00404EEC" w:rsidP="00E52D07">
            <w:pPr>
              <w:widowControl w:val="0"/>
              <w:autoSpaceDE w:val="0"/>
              <w:autoSpaceDN w:val="0"/>
              <w:adjustRightInd w:val="0"/>
              <w:jc w:val="center"/>
              <w:rPr>
                <w:rFonts w:cs="Arial"/>
              </w:rPr>
            </w:pPr>
            <w:r w:rsidRPr="00CE70AA">
              <w:rPr>
                <w:rFonts w:cs="Arial"/>
              </w:rPr>
              <w:t>–1.029***</w:t>
            </w:r>
          </w:p>
        </w:tc>
      </w:tr>
      <w:tr w:rsidR="00404EEC" w:rsidRPr="00CE70AA" w14:paraId="6BD15B2B" w14:textId="77777777" w:rsidTr="00E52D07">
        <w:tc>
          <w:tcPr>
            <w:tcW w:w="1924" w:type="pct"/>
            <w:vMerge/>
          </w:tcPr>
          <w:p w14:paraId="61EBCAE5" w14:textId="77777777" w:rsidR="00404EEC" w:rsidRPr="00CE70AA" w:rsidRDefault="00404EEC" w:rsidP="00E52D07">
            <w:pPr>
              <w:widowControl w:val="0"/>
              <w:autoSpaceDE w:val="0"/>
              <w:autoSpaceDN w:val="0"/>
              <w:adjustRightInd w:val="0"/>
              <w:rPr>
                <w:rFonts w:cs="Arial"/>
              </w:rPr>
            </w:pPr>
          </w:p>
        </w:tc>
        <w:tc>
          <w:tcPr>
            <w:tcW w:w="1025" w:type="pct"/>
          </w:tcPr>
          <w:p w14:paraId="2DD3A695" w14:textId="77777777" w:rsidR="00404EEC" w:rsidRPr="00CE70AA" w:rsidRDefault="00404EEC" w:rsidP="00E52D07">
            <w:pPr>
              <w:widowControl w:val="0"/>
              <w:autoSpaceDE w:val="0"/>
              <w:autoSpaceDN w:val="0"/>
              <w:adjustRightInd w:val="0"/>
              <w:jc w:val="center"/>
              <w:rPr>
                <w:rFonts w:cs="Arial"/>
              </w:rPr>
            </w:pPr>
            <w:r w:rsidRPr="00CE70AA">
              <w:rPr>
                <w:rFonts w:cs="Arial"/>
              </w:rPr>
              <w:t>(0.293)</w:t>
            </w:r>
          </w:p>
        </w:tc>
        <w:tc>
          <w:tcPr>
            <w:tcW w:w="1025" w:type="pct"/>
          </w:tcPr>
          <w:p w14:paraId="2BAA7CF2" w14:textId="77777777" w:rsidR="00404EEC" w:rsidRPr="00CE70AA" w:rsidRDefault="00404EEC" w:rsidP="00E52D07">
            <w:pPr>
              <w:widowControl w:val="0"/>
              <w:autoSpaceDE w:val="0"/>
              <w:autoSpaceDN w:val="0"/>
              <w:adjustRightInd w:val="0"/>
              <w:jc w:val="center"/>
              <w:rPr>
                <w:rFonts w:cs="Arial"/>
              </w:rPr>
            </w:pPr>
            <w:r w:rsidRPr="00CE70AA">
              <w:rPr>
                <w:rFonts w:cs="Arial"/>
              </w:rPr>
              <w:t>(0.286)</w:t>
            </w:r>
          </w:p>
        </w:tc>
        <w:tc>
          <w:tcPr>
            <w:tcW w:w="1025" w:type="pct"/>
          </w:tcPr>
          <w:p w14:paraId="46880916" w14:textId="77777777" w:rsidR="00404EEC" w:rsidRPr="00CE70AA" w:rsidRDefault="00404EEC" w:rsidP="00E52D07">
            <w:pPr>
              <w:widowControl w:val="0"/>
              <w:autoSpaceDE w:val="0"/>
              <w:autoSpaceDN w:val="0"/>
              <w:adjustRightInd w:val="0"/>
              <w:jc w:val="center"/>
              <w:rPr>
                <w:rFonts w:cs="Arial"/>
              </w:rPr>
            </w:pPr>
            <w:r w:rsidRPr="00CE70AA">
              <w:rPr>
                <w:rFonts w:cs="Arial"/>
              </w:rPr>
              <w:t>(0.284)</w:t>
            </w:r>
          </w:p>
        </w:tc>
      </w:tr>
      <w:tr w:rsidR="00404EEC" w:rsidRPr="00CE70AA" w14:paraId="1245F8F5" w14:textId="77777777" w:rsidTr="00E52D07">
        <w:tc>
          <w:tcPr>
            <w:tcW w:w="1924" w:type="pct"/>
            <w:vMerge w:val="restart"/>
          </w:tcPr>
          <w:p w14:paraId="59A37A14" w14:textId="77777777" w:rsidR="00404EEC" w:rsidRPr="00CE70AA" w:rsidRDefault="00404EEC" w:rsidP="00E52D07">
            <w:pPr>
              <w:widowControl w:val="0"/>
              <w:autoSpaceDE w:val="0"/>
              <w:autoSpaceDN w:val="0"/>
              <w:adjustRightInd w:val="0"/>
              <w:rPr>
                <w:rFonts w:cs="Arial"/>
              </w:rPr>
            </w:pPr>
            <w:r w:rsidRPr="00CE70AA">
              <w:rPr>
                <w:rFonts w:cs="Arial"/>
              </w:rPr>
              <w:t>Percent of marginalized students of color.</w:t>
            </w:r>
          </w:p>
        </w:tc>
        <w:tc>
          <w:tcPr>
            <w:tcW w:w="1025" w:type="pct"/>
          </w:tcPr>
          <w:p w14:paraId="6F8F3C09" w14:textId="77777777" w:rsidR="00404EEC" w:rsidRPr="00CE70AA" w:rsidRDefault="00404EEC" w:rsidP="00E52D07">
            <w:pPr>
              <w:widowControl w:val="0"/>
              <w:autoSpaceDE w:val="0"/>
              <w:autoSpaceDN w:val="0"/>
              <w:adjustRightInd w:val="0"/>
              <w:jc w:val="center"/>
              <w:rPr>
                <w:rFonts w:cs="Arial"/>
              </w:rPr>
            </w:pPr>
            <w:r w:rsidRPr="00CE70AA">
              <w:rPr>
                <w:rFonts w:cs="Arial"/>
              </w:rPr>
              <w:t>–0.544</w:t>
            </w:r>
          </w:p>
        </w:tc>
        <w:tc>
          <w:tcPr>
            <w:tcW w:w="1025" w:type="pct"/>
          </w:tcPr>
          <w:p w14:paraId="64FF1F40" w14:textId="77777777" w:rsidR="00404EEC" w:rsidRPr="00CE70AA" w:rsidRDefault="00404EEC" w:rsidP="00E52D07">
            <w:pPr>
              <w:widowControl w:val="0"/>
              <w:autoSpaceDE w:val="0"/>
              <w:autoSpaceDN w:val="0"/>
              <w:adjustRightInd w:val="0"/>
              <w:jc w:val="center"/>
              <w:rPr>
                <w:rFonts w:cs="Arial"/>
              </w:rPr>
            </w:pPr>
            <w:r w:rsidRPr="00CE70AA">
              <w:rPr>
                <w:rFonts w:cs="Arial"/>
              </w:rPr>
              <w:t>–0.613*</w:t>
            </w:r>
          </w:p>
        </w:tc>
        <w:tc>
          <w:tcPr>
            <w:tcW w:w="1025" w:type="pct"/>
          </w:tcPr>
          <w:p w14:paraId="2A5ECF5D" w14:textId="77777777" w:rsidR="00404EEC" w:rsidRPr="00CE70AA" w:rsidRDefault="00404EEC" w:rsidP="00E52D07">
            <w:pPr>
              <w:widowControl w:val="0"/>
              <w:autoSpaceDE w:val="0"/>
              <w:autoSpaceDN w:val="0"/>
              <w:adjustRightInd w:val="0"/>
              <w:jc w:val="center"/>
              <w:rPr>
                <w:rFonts w:cs="Arial"/>
              </w:rPr>
            </w:pPr>
            <w:r w:rsidRPr="00CE70AA">
              <w:rPr>
                <w:rFonts w:cs="Arial"/>
              </w:rPr>
              <w:t>–0.469</w:t>
            </w:r>
          </w:p>
        </w:tc>
      </w:tr>
      <w:tr w:rsidR="00404EEC" w:rsidRPr="00CE70AA" w14:paraId="26D986DE" w14:textId="77777777" w:rsidTr="00E52D07">
        <w:tc>
          <w:tcPr>
            <w:tcW w:w="1924" w:type="pct"/>
            <w:vMerge/>
          </w:tcPr>
          <w:p w14:paraId="216C7E23" w14:textId="77777777" w:rsidR="00404EEC" w:rsidRPr="00CE70AA" w:rsidRDefault="00404EEC" w:rsidP="00E52D07">
            <w:pPr>
              <w:widowControl w:val="0"/>
              <w:autoSpaceDE w:val="0"/>
              <w:autoSpaceDN w:val="0"/>
              <w:adjustRightInd w:val="0"/>
              <w:rPr>
                <w:rFonts w:cs="Arial"/>
              </w:rPr>
            </w:pPr>
          </w:p>
        </w:tc>
        <w:tc>
          <w:tcPr>
            <w:tcW w:w="1025" w:type="pct"/>
          </w:tcPr>
          <w:p w14:paraId="5A2FC1DB" w14:textId="77777777" w:rsidR="00404EEC" w:rsidRPr="00CE70AA" w:rsidRDefault="00404EEC" w:rsidP="00E52D07">
            <w:pPr>
              <w:widowControl w:val="0"/>
              <w:autoSpaceDE w:val="0"/>
              <w:autoSpaceDN w:val="0"/>
              <w:adjustRightInd w:val="0"/>
              <w:jc w:val="center"/>
              <w:rPr>
                <w:rFonts w:cs="Arial"/>
              </w:rPr>
            </w:pPr>
            <w:r w:rsidRPr="00CE70AA">
              <w:rPr>
                <w:rFonts w:cs="Arial"/>
              </w:rPr>
              <w:t>(0.304)</w:t>
            </w:r>
          </w:p>
        </w:tc>
        <w:tc>
          <w:tcPr>
            <w:tcW w:w="1025" w:type="pct"/>
          </w:tcPr>
          <w:p w14:paraId="752CD0C9" w14:textId="77777777" w:rsidR="00404EEC" w:rsidRPr="00CE70AA" w:rsidRDefault="00404EEC" w:rsidP="00E52D07">
            <w:pPr>
              <w:widowControl w:val="0"/>
              <w:autoSpaceDE w:val="0"/>
              <w:autoSpaceDN w:val="0"/>
              <w:adjustRightInd w:val="0"/>
              <w:jc w:val="center"/>
              <w:rPr>
                <w:rFonts w:cs="Arial"/>
              </w:rPr>
            </w:pPr>
            <w:r w:rsidRPr="00CE70AA">
              <w:rPr>
                <w:rFonts w:cs="Arial"/>
              </w:rPr>
              <w:t>(0.296)</w:t>
            </w:r>
          </w:p>
        </w:tc>
        <w:tc>
          <w:tcPr>
            <w:tcW w:w="1025" w:type="pct"/>
          </w:tcPr>
          <w:p w14:paraId="5352B43E" w14:textId="77777777" w:rsidR="00404EEC" w:rsidRPr="00CE70AA" w:rsidRDefault="00404EEC" w:rsidP="00E52D07">
            <w:pPr>
              <w:widowControl w:val="0"/>
              <w:autoSpaceDE w:val="0"/>
              <w:autoSpaceDN w:val="0"/>
              <w:adjustRightInd w:val="0"/>
              <w:jc w:val="center"/>
              <w:rPr>
                <w:rFonts w:cs="Arial"/>
              </w:rPr>
            </w:pPr>
            <w:r w:rsidRPr="00CE70AA">
              <w:rPr>
                <w:rFonts w:cs="Arial"/>
              </w:rPr>
              <w:t>(0.295)</w:t>
            </w:r>
          </w:p>
        </w:tc>
      </w:tr>
      <w:tr w:rsidR="00404EEC" w:rsidRPr="00CE70AA" w14:paraId="3C8EBD45" w14:textId="77777777" w:rsidTr="00E52D07">
        <w:tc>
          <w:tcPr>
            <w:tcW w:w="1924" w:type="pct"/>
            <w:vMerge w:val="restart"/>
          </w:tcPr>
          <w:p w14:paraId="0217AC0C" w14:textId="77777777" w:rsidR="00404EEC" w:rsidRPr="00CE70AA" w:rsidRDefault="00404EEC" w:rsidP="00E52D07">
            <w:pPr>
              <w:widowControl w:val="0"/>
              <w:autoSpaceDE w:val="0"/>
              <w:autoSpaceDN w:val="0"/>
              <w:adjustRightInd w:val="0"/>
              <w:rPr>
                <w:rFonts w:cs="Arial"/>
              </w:rPr>
            </w:pPr>
            <w:r w:rsidRPr="00CE70AA">
              <w:rPr>
                <w:rFonts w:cs="Arial"/>
              </w:rPr>
              <w:t xml:space="preserve">Whether this is the </w:t>
            </w:r>
            <w:r>
              <w:rPr>
                <w:rFonts w:cs="Arial"/>
              </w:rPr>
              <w:t xml:space="preserve">year of 2016–2017. </w:t>
            </w:r>
          </w:p>
        </w:tc>
        <w:tc>
          <w:tcPr>
            <w:tcW w:w="1025" w:type="pct"/>
          </w:tcPr>
          <w:p w14:paraId="61300114" w14:textId="77777777" w:rsidR="00404EEC" w:rsidRPr="00CE70AA" w:rsidRDefault="00404EEC" w:rsidP="00E52D07">
            <w:pPr>
              <w:widowControl w:val="0"/>
              <w:autoSpaceDE w:val="0"/>
              <w:autoSpaceDN w:val="0"/>
              <w:adjustRightInd w:val="0"/>
              <w:jc w:val="center"/>
              <w:rPr>
                <w:rFonts w:cs="Arial"/>
              </w:rPr>
            </w:pPr>
          </w:p>
        </w:tc>
        <w:tc>
          <w:tcPr>
            <w:tcW w:w="1025" w:type="pct"/>
          </w:tcPr>
          <w:p w14:paraId="09A6495E" w14:textId="77777777" w:rsidR="00404EEC" w:rsidRPr="00CE70AA" w:rsidRDefault="00404EEC" w:rsidP="00E52D07">
            <w:pPr>
              <w:widowControl w:val="0"/>
              <w:autoSpaceDE w:val="0"/>
              <w:autoSpaceDN w:val="0"/>
              <w:adjustRightInd w:val="0"/>
              <w:jc w:val="center"/>
              <w:rPr>
                <w:rFonts w:cs="Arial"/>
              </w:rPr>
            </w:pPr>
            <w:r w:rsidRPr="00CE70AA">
              <w:rPr>
                <w:rFonts w:cs="Arial"/>
              </w:rPr>
              <w:t>0.204</w:t>
            </w:r>
          </w:p>
        </w:tc>
        <w:tc>
          <w:tcPr>
            <w:tcW w:w="1025" w:type="pct"/>
          </w:tcPr>
          <w:p w14:paraId="4B59513F" w14:textId="77777777" w:rsidR="00404EEC" w:rsidRPr="00CE70AA" w:rsidRDefault="00404EEC" w:rsidP="00E52D07">
            <w:pPr>
              <w:widowControl w:val="0"/>
              <w:autoSpaceDE w:val="0"/>
              <w:autoSpaceDN w:val="0"/>
              <w:adjustRightInd w:val="0"/>
              <w:jc w:val="center"/>
              <w:rPr>
                <w:rFonts w:cs="Arial"/>
              </w:rPr>
            </w:pPr>
          </w:p>
        </w:tc>
      </w:tr>
      <w:tr w:rsidR="00404EEC" w:rsidRPr="00CE70AA" w14:paraId="4463FB47" w14:textId="77777777" w:rsidTr="00E52D07">
        <w:tc>
          <w:tcPr>
            <w:tcW w:w="1924" w:type="pct"/>
            <w:vMerge/>
          </w:tcPr>
          <w:p w14:paraId="4AFFE2AC" w14:textId="77777777" w:rsidR="00404EEC" w:rsidRPr="00CE70AA" w:rsidRDefault="00404EEC" w:rsidP="00E52D07">
            <w:pPr>
              <w:widowControl w:val="0"/>
              <w:autoSpaceDE w:val="0"/>
              <w:autoSpaceDN w:val="0"/>
              <w:adjustRightInd w:val="0"/>
              <w:rPr>
                <w:rFonts w:cs="Arial"/>
              </w:rPr>
            </w:pPr>
          </w:p>
        </w:tc>
        <w:tc>
          <w:tcPr>
            <w:tcW w:w="1025" w:type="pct"/>
          </w:tcPr>
          <w:p w14:paraId="55A7BBD2" w14:textId="77777777" w:rsidR="00404EEC" w:rsidRPr="00CE70AA" w:rsidRDefault="00404EEC" w:rsidP="00E52D07">
            <w:pPr>
              <w:widowControl w:val="0"/>
              <w:autoSpaceDE w:val="0"/>
              <w:autoSpaceDN w:val="0"/>
              <w:adjustRightInd w:val="0"/>
              <w:jc w:val="center"/>
              <w:rPr>
                <w:rFonts w:cs="Arial"/>
              </w:rPr>
            </w:pPr>
          </w:p>
        </w:tc>
        <w:tc>
          <w:tcPr>
            <w:tcW w:w="1025" w:type="pct"/>
          </w:tcPr>
          <w:p w14:paraId="1EDD513D" w14:textId="77777777" w:rsidR="00404EEC" w:rsidRPr="00CE70AA" w:rsidRDefault="00404EEC" w:rsidP="00E52D07">
            <w:pPr>
              <w:widowControl w:val="0"/>
              <w:autoSpaceDE w:val="0"/>
              <w:autoSpaceDN w:val="0"/>
              <w:adjustRightInd w:val="0"/>
              <w:jc w:val="center"/>
              <w:rPr>
                <w:rFonts w:cs="Arial"/>
              </w:rPr>
            </w:pPr>
            <w:r w:rsidRPr="00CE70AA">
              <w:rPr>
                <w:rFonts w:cs="Arial"/>
              </w:rPr>
              <w:t>(0.147)</w:t>
            </w:r>
          </w:p>
        </w:tc>
        <w:tc>
          <w:tcPr>
            <w:tcW w:w="1025" w:type="pct"/>
          </w:tcPr>
          <w:p w14:paraId="2B8264DB" w14:textId="77777777" w:rsidR="00404EEC" w:rsidRPr="00CE70AA" w:rsidRDefault="00404EEC" w:rsidP="00E52D07">
            <w:pPr>
              <w:widowControl w:val="0"/>
              <w:autoSpaceDE w:val="0"/>
              <w:autoSpaceDN w:val="0"/>
              <w:adjustRightInd w:val="0"/>
              <w:jc w:val="center"/>
              <w:rPr>
                <w:rFonts w:cs="Arial"/>
              </w:rPr>
            </w:pPr>
          </w:p>
        </w:tc>
      </w:tr>
      <w:tr w:rsidR="00404EEC" w:rsidRPr="00CE70AA" w14:paraId="0CD9EE95" w14:textId="77777777" w:rsidTr="00E52D07">
        <w:tc>
          <w:tcPr>
            <w:tcW w:w="1924" w:type="pct"/>
            <w:vMerge w:val="restart"/>
          </w:tcPr>
          <w:p w14:paraId="4AABA4D7" w14:textId="77777777" w:rsidR="00404EEC" w:rsidRPr="00CE70AA" w:rsidRDefault="00404EEC" w:rsidP="00E52D07">
            <w:pPr>
              <w:widowControl w:val="0"/>
              <w:autoSpaceDE w:val="0"/>
              <w:autoSpaceDN w:val="0"/>
              <w:adjustRightInd w:val="0"/>
              <w:rPr>
                <w:rFonts w:cs="Arial"/>
              </w:rPr>
            </w:pPr>
            <w:r w:rsidRPr="00CE70AA">
              <w:rPr>
                <w:rFonts w:cs="Arial"/>
              </w:rPr>
              <w:t>Whether this is the year of 2017</w:t>
            </w:r>
            <w:r>
              <w:rPr>
                <w:rFonts w:cs="Arial"/>
              </w:rPr>
              <w:t>–20</w:t>
            </w:r>
            <w:r w:rsidRPr="00CE70AA">
              <w:rPr>
                <w:rFonts w:cs="Arial"/>
              </w:rPr>
              <w:t>18.</w:t>
            </w:r>
          </w:p>
        </w:tc>
        <w:tc>
          <w:tcPr>
            <w:tcW w:w="1025" w:type="pct"/>
          </w:tcPr>
          <w:p w14:paraId="35DFA1F9" w14:textId="77777777" w:rsidR="00404EEC" w:rsidRPr="00CE70AA" w:rsidRDefault="00404EEC" w:rsidP="00E52D07">
            <w:pPr>
              <w:widowControl w:val="0"/>
              <w:autoSpaceDE w:val="0"/>
              <w:autoSpaceDN w:val="0"/>
              <w:adjustRightInd w:val="0"/>
              <w:jc w:val="center"/>
              <w:rPr>
                <w:rFonts w:cs="Arial"/>
              </w:rPr>
            </w:pPr>
          </w:p>
        </w:tc>
        <w:tc>
          <w:tcPr>
            <w:tcW w:w="1025" w:type="pct"/>
          </w:tcPr>
          <w:p w14:paraId="5F55AD70" w14:textId="77777777" w:rsidR="00404EEC" w:rsidRPr="00CE70AA" w:rsidRDefault="00404EEC" w:rsidP="00E52D07">
            <w:pPr>
              <w:widowControl w:val="0"/>
              <w:autoSpaceDE w:val="0"/>
              <w:autoSpaceDN w:val="0"/>
              <w:adjustRightInd w:val="0"/>
              <w:jc w:val="center"/>
              <w:rPr>
                <w:rFonts w:cs="Arial"/>
              </w:rPr>
            </w:pPr>
            <w:r w:rsidRPr="00CE70AA">
              <w:rPr>
                <w:rFonts w:cs="Arial"/>
              </w:rPr>
              <w:t>0.509***</w:t>
            </w:r>
          </w:p>
        </w:tc>
        <w:tc>
          <w:tcPr>
            <w:tcW w:w="1025" w:type="pct"/>
          </w:tcPr>
          <w:p w14:paraId="74EB95AC" w14:textId="77777777" w:rsidR="00404EEC" w:rsidRPr="00CE70AA" w:rsidRDefault="00404EEC" w:rsidP="00E52D07">
            <w:pPr>
              <w:widowControl w:val="0"/>
              <w:autoSpaceDE w:val="0"/>
              <w:autoSpaceDN w:val="0"/>
              <w:adjustRightInd w:val="0"/>
              <w:jc w:val="center"/>
              <w:rPr>
                <w:rFonts w:cs="Arial"/>
              </w:rPr>
            </w:pPr>
          </w:p>
        </w:tc>
      </w:tr>
      <w:tr w:rsidR="00404EEC" w:rsidRPr="00CE70AA" w14:paraId="7E3D95B3" w14:textId="77777777" w:rsidTr="00E52D07">
        <w:tc>
          <w:tcPr>
            <w:tcW w:w="1924" w:type="pct"/>
            <w:vMerge/>
          </w:tcPr>
          <w:p w14:paraId="1FA290CA" w14:textId="77777777" w:rsidR="00404EEC" w:rsidRPr="00CE70AA" w:rsidRDefault="00404EEC" w:rsidP="00E52D07">
            <w:pPr>
              <w:widowControl w:val="0"/>
              <w:autoSpaceDE w:val="0"/>
              <w:autoSpaceDN w:val="0"/>
              <w:adjustRightInd w:val="0"/>
              <w:rPr>
                <w:rFonts w:cs="Arial"/>
              </w:rPr>
            </w:pPr>
          </w:p>
        </w:tc>
        <w:tc>
          <w:tcPr>
            <w:tcW w:w="1025" w:type="pct"/>
          </w:tcPr>
          <w:p w14:paraId="3A9953E0" w14:textId="77777777" w:rsidR="00404EEC" w:rsidRPr="00CE70AA" w:rsidRDefault="00404EEC" w:rsidP="00E52D07">
            <w:pPr>
              <w:widowControl w:val="0"/>
              <w:autoSpaceDE w:val="0"/>
              <w:autoSpaceDN w:val="0"/>
              <w:adjustRightInd w:val="0"/>
              <w:jc w:val="center"/>
              <w:rPr>
                <w:rFonts w:cs="Arial"/>
              </w:rPr>
            </w:pPr>
          </w:p>
        </w:tc>
        <w:tc>
          <w:tcPr>
            <w:tcW w:w="1025" w:type="pct"/>
          </w:tcPr>
          <w:p w14:paraId="27337E96" w14:textId="77777777" w:rsidR="00404EEC" w:rsidRPr="00CE70AA" w:rsidRDefault="00404EEC" w:rsidP="00E52D07">
            <w:pPr>
              <w:widowControl w:val="0"/>
              <w:autoSpaceDE w:val="0"/>
              <w:autoSpaceDN w:val="0"/>
              <w:adjustRightInd w:val="0"/>
              <w:jc w:val="center"/>
              <w:rPr>
                <w:rFonts w:cs="Arial"/>
              </w:rPr>
            </w:pPr>
            <w:r w:rsidRPr="00CE70AA">
              <w:rPr>
                <w:rFonts w:cs="Arial"/>
              </w:rPr>
              <w:t>(0.144)</w:t>
            </w:r>
          </w:p>
        </w:tc>
        <w:tc>
          <w:tcPr>
            <w:tcW w:w="1025" w:type="pct"/>
          </w:tcPr>
          <w:p w14:paraId="7D8BFB88" w14:textId="77777777" w:rsidR="00404EEC" w:rsidRPr="00CE70AA" w:rsidRDefault="00404EEC" w:rsidP="00E52D07">
            <w:pPr>
              <w:widowControl w:val="0"/>
              <w:autoSpaceDE w:val="0"/>
              <w:autoSpaceDN w:val="0"/>
              <w:adjustRightInd w:val="0"/>
              <w:jc w:val="center"/>
              <w:rPr>
                <w:rFonts w:cs="Arial"/>
              </w:rPr>
            </w:pPr>
          </w:p>
        </w:tc>
      </w:tr>
      <w:tr w:rsidR="00404EEC" w:rsidRPr="00CE70AA" w14:paraId="1DAC52A3" w14:textId="77777777" w:rsidTr="00E52D07">
        <w:tc>
          <w:tcPr>
            <w:tcW w:w="1924" w:type="pct"/>
            <w:vMerge w:val="restart"/>
          </w:tcPr>
          <w:p w14:paraId="1BA4F9A1" w14:textId="77777777" w:rsidR="00404EEC" w:rsidRPr="00CE70AA" w:rsidRDefault="00404EEC" w:rsidP="00E52D07">
            <w:pPr>
              <w:widowControl w:val="0"/>
              <w:autoSpaceDE w:val="0"/>
              <w:autoSpaceDN w:val="0"/>
              <w:adjustRightInd w:val="0"/>
              <w:rPr>
                <w:rFonts w:cs="Arial"/>
              </w:rPr>
            </w:pPr>
            <w:r w:rsidRPr="00CE70AA">
              <w:rPr>
                <w:rFonts w:cs="Arial"/>
              </w:rPr>
              <w:t>Whether this is the year of 201</w:t>
            </w:r>
            <w:r>
              <w:rPr>
                <w:rFonts w:cs="Arial"/>
              </w:rPr>
              <w:t>8–20</w:t>
            </w:r>
            <w:r w:rsidRPr="00CE70AA">
              <w:rPr>
                <w:rFonts w:cs="Arial"/>
              </w:rPr>
              <w:t>1</w:t>
            </w:r>
            <w:r>
              <w:rPr>
                <w:rFonts w:cs="Arial"/>
              </w:rPr>
              <w:t>9</w:t>
            </w:r>
            <w:r w:rsidRPr="00CE70AA">
              <w:rPr>
                <w:rFonts w:cs="Arial"/>
              </w:rPr>
              <w:t>.</w:t>
            </w:r>
          </w:p>
        </w:tc>
        <w:tc>
          <w:tcPr>
            <w:tcW w:w="1025" w:type="pct"/>
          </w:tcPr>
          <w:p w14:paraId="230943DF" w14:textId="77777777" w:rsidR="00404EEC" w:rsidRPr="00CE70AA" w:rsidRDefault="00404EEC" w:rsidP="00E52D07">
            <w:pPr>
              <w:widowControl w:val="0"/>
              <w:autoSpaceDE w:val="0"/>
              <w:autoSpaceDN w:val="0"/>
              <w:adjustRightInd w:val="0"/>
              <w:jc w:val="center"/>
              <w:rPr>
                <w:rFonts w:cs="Arial"/>
              </w:rPr>
            </w:pPr>
          </w:p>
        </w:tc>
        <w:tc>
          <w:tcPr>
            <w:tcW w:w="1025" w:type="pct"/>
          </w:tcPr>
          <w:p w14:paraId="357D8633" w14:textId="77777777" w:rsidR="00404EEC" w:rsidRPr="00CE70AA" w:rsidRDefault="00404EEC" w:rsidP="00E52D07">
            <w:pPr>
              <w:widowControl w:val="0"/>
              <w:autoSpaceDE w:val="0"/>
              <w:autoSpaceDN w:val="0"/>
              <w:adjustRightInd w:val="0"/>
              <w:jc w:val="center"/>
              <w:rPr>
                <w:rFonts w:cs="Arial"/>
              </w:rPr>
            </w:pPr>
            <w:r w:rsidRPr="00CE70AA">
              <w:rPr>
                <w:rFonts w:cs="Arial"/>
              </w:rPr>
              <w:t>0.424**</w:t>
            </w:r>
          </w:p>
        </w:tc>
        <w:tc>
          <w:tcPr>
            <w:tcW w:w="1025" w:type="pct"/>
          </w:tcPr>
          <w:p w14:paraId="2B92113E" w14:textId="77777777" w:rsidR="00404EEC" w:rsidRPr="00CE70AA" w:rsidRDefault="00404EEC" w:rsidP="00E52D07">
            <w:pPr>
              <w:widowControl w:val="0"/>
              <w:autoSpaceDE w:val="0"/>
              <w:autoSpaceDN w:val="0"/>
              <w:adjustRightInd w:val="0"/>
              <w:jc w:val="center"/>
              <w:rPr>
                <w:rFonts w:cs="Arial"/>
              </w:rPr>
            </w:pPr>
          </w:p>
        </w:tc>
      </w:tr>
      <w:tr w:rsidR="00404EEC" w:rsidRPr="00CE70AA" w14:paraId="7730D94A" w14:textId="77777777" w:rsidTr="00E52D07">
        <w:tc>
          <w:tcPr>
            <w:tcW w:w="1924" w:type="pct"/>
            <w:vMerge/>
          </w:tcPr>
          <w:p w14:paraId="76EB0C41" w14:textId="77777777" w:rsidR="00404EEC" w:rsidRPr="00CE70AA" w:rsidRDefault="00404EEC" w:rsidP="00E52D07">
            <w:pPr>
              <w:widowControl w:val="0"/>
              <w:autoSpaceDE w:val="0"/>
              <w:autoSpaceDN w:val="0"/>
              <w:adjustRightInd w:val="0"/>
              <w:rPr>
                <w:rFonts w:cs="Arial"/>
              </w:rPr>
            </w:pPr>
          </w:p>
        </w:tc>
        <w:tc>
          <w:tcPr>
            <w:tcW w:w="1025" w:type="pct"/>
          </w:tcPr>
          <w:p w14:paraId="32422009" w14:textId="77777777" w:rsidR="00404EEC" w:rsidRPr="00CE70AA" w:rsidRDefault="00404EEC" w:rsidP="00E52D07">
            <w:pPr>
              <w:widowControl w:val="0"/>
              <w:autoSpaceDE w:val="0"/>
              <w:autoSpaceDN w:val="0"/>
              <w:adjustRightInd w:val="0"/>
              <w:jc w:val="center"/>
              <w:rPr>
                <w:rFonts w:cs="Arial"/>
              </w:rPr>
            </w:pPr>
          </w:p>
        </w:tc>
        <w:tc>
          <w:tcPr>
            <w:tcW w:w="1025" w:type="pct"/>
          </w:tcPr>
          <w:p w14:paraId="2DD3CE04" w14:textId="77777777" w:rsidR="00404EEC" w:rsidRPr="00CE70AA" w:rsidRDefault="00404EEC" w:rsidP="00E52D07">
            <w:pPr>
              <w:widowControl w:val="0"/>
              <w:autoSpaceDE w:val="0"/>
              <w:autoSpaceDN w:val="0"/>
              <w:adjustRightInd w:val="0"/>
              <w:jc w:val="center"/>
              <w:rPr>
                <w:rFonts w:cs="Arial"/>
              </w:rPr>
            </w:pPr>
            <w:r w:rsidRPr="00CE70AA">
              <w:rPr>
                <w:rFonts w:cs="Arial"/>
              </w:rPr>
              <w:t>(0.154)</w:t>
            </w:r>
          </w:p>
        </w:tc>
        <w:tc>
          <w:tcPr>
            <w:tcW w:w="1025" w:type="pct"/>
          </w:tcPr>
          <w:p w14:paraId="319333A4" w14:textId="77777777" w:rsidR="00404EEC" w:rsidRPr="00CE70AA" w:rsidRDefault="00404EEC" w:rsidP="00E52D07">
            <w:pPr>
              <w:widowControl w:val="0"/>
              <w:autoSpaceDE w:val="0"/>
              <w:autoSpaceDN w:val="0"/>
              <w:adjustRightInd w:val="0"/>
              <w:jc w:val="center"/>
              <w:rPr>
                <w:rFonts w:cs="Arial"/>
              </w:rPr>
            </w:pPr>
          </w:p>
        </w:tc>
      </w:tr>
      <w:tr w:rsidR="00404EEC" w:rsidRPr="00CE70AA" w14:paraId="144C33EF" w14:textId="77777777" w:rsidTr="00E52D07">
        <w:tc>
          <w:tcPr>
            <w:tcW w:w="1924" w:type="pct"/>
            <w:vMerge w:val="restart"/>
          </w:tcPr>
          <w:p w14:paraId="280CED5C" w14:textId="77777777" w:rsidR="00404EEC" w:rsidRPr="00CE70AA" w:rsidRDefault="00404EEC" w:rsidP="00E52D07">
            <w:pPr>
              <w:widowControl w:val="0"/>
              <w:autoSpaceDE w:val="0"/>
              <w:autoSpaceDN w:val="0"/>
              <w:adjustRightInd w:val="0"/>
              <w:rPr>
                <w:rFonts w:cs="Arial"/>
              </w:rPr>
            </w:pPr>
            <w:r>
              <w:rPr>
                <w:rFonts w:cs="Arial"/>
              </w:rPr>
              <w:t xml:space="preserve">Whether this is the 2nd year of teaching the project units. </w:t>
            </w:r>
          </w:p>
        </w:tc>
        <w:tc>
          <w:tcPr>
            <w:tcW w:w="1025" w:type="pct"/>
          </w:tcPr>
          <w:p w14:paraId="12FAB778" w14:textId="77777777" w:rsidR="00404EEC" w:rsidRPr="00CE70AA" w:rsidRDefault="00404EEC" w:rsidP="00E52D07">
            <w:pPr>
              <w:widowControl w:val="0"/>
              <w:autoSpaceDE w:val="0"/>
              <w:autoSpaceDN w:val="0"/>
              <w:adjustRightInd w:val="0"/>
              <w:jc w:val="center"/>
              <w:rPr>
                <w:rFonts w:cs="Arial"/>
              </w:rPr>
            </w:pPr>
          </w:p>
        </w:tc>
        <w:tc>
          <w:tcPr>
            <w:tcW w:w="1025" w:type="pct"/>
          </w:tcPr>
          <w:p w14:paraId="375D304A" w14:textId="77777777" w:rsidR="00404EEC" w:rsidRPr="00CE70AA" w:rsidRDefault="00404EEC" w:rsidP="00E52D07">
            <w:pPr>
              <w:widowControl w:val="0"/>
              <w:autoSpaceDE w:val="0"/>
              <w:autoSpaceDN w:val="0"/>
              <w:adjustRightInd w:val="0"/>
              <w:jc w:val="center"/>
              <w:rPr>
                <w:rFonts w:cs="Arial"/>
              </w:rPr>
            </w:pPr>
          </w:p>
        </w:tc>
        <w:tc>
          <w:tcPr>
            <w:tcW w:w="1025" w:type="pct"/>
          </w:tcPr>
          <w:p w14:paraId="0D125B7B" w14:textId="77777777" w:rsidR="00404EEC" w:rsidRPr="00CE70AA" w:rsidRDefault="00404EEC" w:rsidP="00E52D07">
            <w:pPr>
              <w:widowControl w:val="0"/>
              <w:autoSpaceDE w:val="0"/>
              <w:autoSpaceDN w:val="0"/>
              <w:adjustRightInd w:val="0"/>
              <w:jc w:val="center"/>
              <w:rPr>
                <w:rFonts w:cs="Arial"/>
              </w:rPr>
            </w:pPr>
            <w:r w:rsidRPr="00CE70AA">
              <w:rPr>
                <w:rFonts w:cs="Arial"/>
              </w:rPr>
              <w:t>0.257**</w:t>
            </w:r>
          </w:p>
        </w:tc>
      </w:tr>
      <w:tr w:rsidR="00404EEC" w:rsidRPr="00CE70AA" w14:paraId="65A81F5E" w14:textId="77777777" w:rsidTr="00E52D07">
        <w:tc>
          <w:tcPr>
            <w:tcW w:w="1924" w:type="pct"/>
            <w:vMerge/>
          </w:tcPr>
          <w:p w14:paraId="4A711EC8" w14:textId="77777777" w:rsidR="00404EEC" w:rsidRPr="00CE70AA" w:rsidRDefault="00404EEC" w:rsidP="00E52D07">
            <w:pPr>
              <w:widowControl w:val="0"/>
              <w:autoSpaceDE w:val="0"/>
              <w:autoSpaceDN w:val="0"/>
              <w:adjustRightInd w:val="0"/>
              <w:rPr>
                <w:rFonts w:cs="Arial"/>
              </w:rPr>
            </w:pPr>
          </w:p>
        </w:tc>
        <w:tc>
          <w:tcPr>
            <w:tcW w:w="1025" w:type="pct"/>
          </w:tcPr>
          <w:p w14:paraId="70B6B904" w14:textId="77777777" w:rsidR="00404EEC" w:rsidRPr="00CE70AA" w:rsidRDefault="00404EEC" w:rsidP="00E52D07">
            <w:pPr>
              <w:widowControl w:val="0"/>
              <w:autoSpaceDE w:val="0"/>
              <w:autoSpaceDN w:val="0"/>
              <w:adjustRightInd w:val="0"/>
              <w:jc w:val="center"/>
              <w:rPr>
                <w:rFonts w:cs="Arial"/>
              </w:rPr>
            </w:pPr>
          </w:p>
        </w:tc>
        <w:tc>
          <w:tcPr>
            <w:tcW w:w="1025" w:type="pct"/>
          </w:tcPr>
          <w:p w14:paraId="2CE4D0E8" w14:textId="77777777" w:rsidR="00404EEC" w:rsidRPr="00CE70AA" w:rsidRDefault="00404EEC" w:rsidP="00E52D07">
            <w:pPr>
              <w:widowControl w:val="0"/>
              <w:autoSpaceDE w:val="0"/>
              <w:autoSpaceDN w:val="0"/>
              <w:adjustRightInd w:val="0"/>
              <w:jc w:val="center"/>
              <w:rPr>
                <w:rFonts w:cs="Arial"/>
              </w:rPr>
            </w:pPr>
          </w:p>
        </w:tc>
        <w:tc>
          <w:tcPr>
            <w:tcW w:w="1025" w:type="pct"/>
          </w:tcPr>
          <w:p w14:paraId="612F10E6" w14:textId="77777777" w:rsidR="00404EEC" w:rsidRPr="00CE70AA" w:rsidRDefault="00404EEC" w:rsidP="00E52D07">
            <w:pPr>
              <w:widowControl w:val="0"/>
              <w:autoSpaceDE w:val="0"/>
              <w:autoSpaceDN w:val="0"/>
              <w:adjustRightInd w:val="0"/>
              <w:jc w:val="center"/>
              <w:rPr>
                <w:rFonts w:cs="Arial"/>
              </w:rPr>
            </w:pPr>
            <w:r w:rsidRPr="00CE70AA">
              <w:rPr>
                <w:rFonts w:cs="Arial"/>
              </w:rPr>
              <w:t>(0.0885)</w:t>
            </w:r>
          </w:p>
        </w:tc>
      </w:tr>
      <w:tr w:rsidR="00404EEC" w:rsidRPr="00CE70AA" w14:paraId="03F2D0D2" w14:textId="77777777" w:rsidTr="00E52D07">
        <w:tc>
          <w:tcPr>
            <w:tcW w:w="1924" w:type="pct"/>
            <w:vMerge w:val="restart"/>
          </w:tcPr>
          <w:p w14:paraId="7DC854DA" w14:textId="77777777" w:rsidR="00404EEC" w:rsidRPr="00CE70AA" w:rsidRDefault="00404EEC" w:rsidP="00E52D07">
            <w:pPr>
              <w:widowControl w:val="0"/>
              <w:autoSpaceDE w:val="0"/>
              <w:autoSpaceDN w:val="0"/>
              <w:adjustRightInd w:val="0"/>
              <w:rPr>
                <w:rFonts w:cs="Arial"/>
              </w:rPr>
            </w:pPr>
            <w:r>
              <w:rPr>
                <w:rFonts w:cs="Arial"/>
              </w:rPr>
              <w:t>Whether this is the 3rd year of teaching the project units.</w:t>
            </w:r>
          </w:p>
        </w:tc>
        <w:tc>
          <w:tcPr>
            <w:tcW w:w="1025" w:type="pct"/>
          </w:tcPr>
          <w:p w14:paraId="096C2B21" w14:textId="77777777" w:rsidR="00404EEC" w:rsidRPr="00CE70AA" w:rsidRDefault="00404EEC" w:rsidP="00E52D07">
            <w:pPr>
              <w:widowControl w:val="0"/>
              <w:autoSpaceDE w:val="0"/>
              <w:autoSpaceDN w:val="0"/>
              <w:adjustRightInd w:val="0"/>
              <w:jc w:val="center"/>
              <w:rPr>
                <w:rFonts w:cs="Arial"/>
              </w:rPr>
            </w:pPr>
          </w:p>
        </w:tc>
        <w:tc>
          <w:tcPr>
            <w:tcW w:w="1025" w:type="pct"/>
          </w:tcPr>
          <w:p w14:paraId="15BF5540" w14:textId="77777777" w:rsidR="00404EEC" w:rsidRPr="00CE70AA" w:rsidRDefault="00404EEC" w:rsidP="00E52D07">
            <w:pPr>
              <w:widowControl w:val="0"/>
              <w:autoSpaceDE w:val="0"/>
              <w:autoSpaceDN w:val="0"/>
              <w:adjustRightInd w:val="0"/>
              <w:jc w:val="center"/>
              <w:rPr>
                <w:rFonts w:cs="Arial"/>
              </w:rPr>
            </w:pPr>
          </w:p>
        </w:tc>
        <w:tc>
          <w:tcPr>
            <w:tcW w:w="1025" w:type="pct"/>
          </w:tcPr>
          <w:p w14:paraId="68363DEE" w14:textId="77777777" w:rsidR="00404EEC" w:rsidRPr="00CE70AA" w:rsidRDefault="00404EEC" w:rsidP="00E52D07">
            <w:pPr>
              <w:widowControl w:val="0"/>
              <w:autoSpaceDE w:val="0"/>
              <w:autoSpaceDN w:val="0"/>
              <w:adjustRightInd w:val="0"/>
              <w:jc w:val="center"/>
              <w:rPr>
                <w:rFonts w:cs="Arial"/>
              </w:rPr>
            </w:pPr>
            <w:r w:rsidRPr="00CE70AA">
              <w:rPr>
                <w:rFonts w:cs="Arial"/>
              </w:rPr>
              <w:t>0.531***</w:t>
            </w:r>
          </w:p>
        </w:tc>
      </w:tr>
      <w:tr w:rsidR="00404EEC" w:rsidRPr="00CE70AA" w14:paraId="20F8D2F2" w14:textId="77777777" w:rsidTr="00E52D07">
        <w:tc>
          <w:tcPr>
            <w:tcW w:w="1924" w:type="pct"/>
            <w:vMerge/>
          </w:tcPr>
          <w:p w14:paraId="1541B759" w14:textId="77777777" w:rsidR="00404EEC" w:rsidRPr="00CE70AA" w:rsidRDefault="00404EEC" w:rsidP="00E52D07">
            <w:pPr>
              <w:widowControl w:val="0"/>
              <w:autoSpaceDE w:val="0"/>
              <w:autoSpaceDN w:val="0"/>
              <w:adjustRightInd w:val="0"/>
              <w:rPr>
                <w:rFonts w:cs="Arial"/>
              </w:rPr>
            </w:pPr>
          </w:p>
        </w:tc>
        <w:tc>
          <w:tcPr>
            <w:tcW w:w="1025" w:type="pct"/>
          </w:tcPr>
          <w:p w14:paraId="15238782" w14:textId="77777777" w:rsidR="00404EEC" w:rsidRPr="00CE70AA" w:rsidRDefault="00404EEC" w:rsidP="00E52D07">
            <w:pPr>
              <w:widowControl w:val="0"/>
              <w:autoSpaceDE w:val="0"/>
              <w:autoSpaceDN w:val="0"/>
              <w:adjustRightInd w:val="0"/>
              <w:jc w:val="center"/>
              <w:rPr>
                <w:rFonts w:cs="Arial"/>
              </w:rPr>
            </w:pPr>
          </w:p>
        </w:tc>
        <w:tc>
          <w:tcPr>
            <w:tcW w:w="1025" w:type="pct"/>
          </w:tcPr>
          <w:p w14:paraId="0F124638" w14:textId="77777777" w:rsidR="00404EEC" w:rsidRPr="00CE70AA" w:rsidRDefault="00404EEC" w:rsidP="00E52D07">
            <w:pPr>
              <w:widowControl w:val="0"/>
              <w:autoSpaceDE w:val="0"/>
              <w:autoSpaceDN w:val="0"/>
              <w:adjustRightInd w:val="0"/>
              <w:jc w:val="center"/>
              <w:rPr>
                <w:rFonts w:cs="Arial"/>
              </w:rPr>
            </w:pPr>
          </w:p>
        </w:tc>
        <w:tc>
          <w:tcPr>
            <w:tcW w:w="1025" w:type="pct"/>
          </w:tcPr>
          <w:p w14:paraId="4B1C8A77" w14:textId="77777777" w:rsidR="00404EEC" w:rsidRPr="00CE70AA" w:rsidRDefault="00404EEC" w:rsidP="00E52D07">
            <w:pPr>
              <w:widowControl w:val="0"/>
              <w:autoSpaceDE w:val="0"/>
              <w:autoSpaceDN w:val="0"/>
              <w:adjustRightInd w:val="0"/>
              <w:jc w:val="center"/>
              <w:rPr>
                <w:rFonts w:cs="Arial"/>
              </w:rPr>
            </w:pPr>
            <w:r w:rsidRPr="00CE70AA">
              <w:rPr>
                <w:rFonts w:cs="Arial"/>
              </w:rPr>
              <w:t>(0.144)</w:t>
            </w:r>
          </w:p>
        </w:tc>
      </w:tr>
      <w:tr w:rsidR="00404EEC" w:rsidRPr="00CE70AA" w14:paraId="5B774354" w14:textId="77777777" w:rsidTr="00E52D07">
        <w:tc>
          <w:tcPr>
            <w:tcW w:w="1924" w:type="pct"/>
            <w:vMerge w:val="restart"/>
          </w:tcPr>
          <w:p w14:paraId="04C14DFB" w14:textId="77777777" w:rsidR="00404EEC" w:rsidRPr="00CE70AA" w:rsidRDefault="00404EEC" w:rsidP="00E52D07">
            <w:pPr>
              <w:widowControl w:val="0"/>
              <w:autoSpaceDE w:val="0"/>
              <w:autoSpaceDN w:val="0"/>
              <w:adjustRightInd w:val="0"/>
              <w:rPr>
                <w:rFonts w:cs="Arial"/>
              </w:rPr>
            </w:pPr>
            <w:r w:rsidRPr="00CE70AA">
              <w:rPr>
                <w:rFonts w:cs="Arial"/>
              </w:rPr>
              <w:t>Whether this is the 4</w:t>
            </w:r>
            <w:r>
              <w:rPr>
                <w:rFonts w:cs="Arial"/>
              </w:rPr>
              <w:t>th</w:t>
            </w:r>
            <w:r w:rsidRPr="00CE70AA">
              <w:rPr>
                <w:rFonts w:cs="Arial"/>
              </w:rPr>
              <w:t xml:space="preserve"> year of teaching </w:t>
            </w:r>
            <w:r>
              <w:rPr>
                <w:rFonts w:cs="Arial"/>
              </w:rPr>
              <w:t>the project units</w:t>
            </w:r>
            <w:r w:rsidRPr="00CE70AA">
              <w:rPr>
                <w:rFonts w:cs="Arial"/>
              </w:rPr>
              <w:t>.</w:t>
            </w:r>
          </w:p>
        </w:tc>
        <w:tc>
          <w:tcPr>
            <w:tcW w:w="1025" w:type="pct"/>
          </w:tcPr>
          <w:p w14:paraId="06D95547" w14:textId="77777777" w:rsidR="00404EEC" w:rsidRPr="00CE70AA" w:rsidRDefault="00404EEC" w:rsidP="00E52D07">
            <w:pPr>
              <w:widowControl w:val="0"/>
              <w:autoSpaceDE w:val="0"/>
              <w:autoSpaceDN w:val="0"/>
              <w:adjustRightInd w:val="0"/>
              <w:jc w:val="center"/>
              <w:rPr>
                <w:rFonts w:cs="Arial"/>
              </w:rPr>
            </w:pPr>
          </w:p>
        </w:tc>
        <w:tc>
          <w:tcPr>
            <w:tcW w:w="1025" w:type="pct"/>
          </w:tcPr>
          <w:p w14:paraId="5AA93605" w14:textId="77777777" w:rsidR="00404EEC" w:rsidRPr="00CE70AA" w:rsidRDefault="00404EEC" w:rsidP="00E52D07">
            <w:pPr>
              <w:widowControl w:val="0"/>
              <w:autoSpaceDE w:val="0"/>
              <w:autoSpaceDN w:val="0"/>
              <w:adjustRightInd w:val="0"/>
              <w:jc w:val="center"/>
              <w:rPr>
                <w:rFonts w:cs="Arial"/>
              </w:rPr>
            </w:pPr>
          </w:p>
        </w:tc>
        <w:tc>
          <w:tcPr>
            <w:tcW w:w="1025" w:type="pct"/>
          </w:tcPr>
          <w:p w14:paraId="288A449F" w14:textId="77777777" w:rsidR="00404EEC" w:rsidRPr="00CE70AA" w:rsidRDefault="00404EEC" w:rsidP="00E52D07">
            <w:pPr>
              <w:widowControl w:val="0"/>
              <w:autoSpaceDE w:val="0"/>
              <w:autoSpaceDN w:val="0"/>
              <w:adjustRightInd w:val="0"/>
              <w:jc w:val="center"/>
              <w:rPr>
                <w:rFonts w:cs="Arial"/>
              </w:rPr>
            </w:pPr>
            <w:r w:rsidRPr="00CE70AA">
              <w:rPr>
                <w:rFonts w:cs="Arial"/>
              </w:rPr>
              <w:t>0.430</w:t>
            </w:r>
          </w:p>
        </w:tc>
      </w:tr>
      <w:tr w:rsidR="00404EEC" w:rsidRPr="00CE70AA" w14:paraId="65D8D25F" w14:textId="77777777" w:rsidTr="00E52D07">
        <w:tc>
          <w:tcPr>
            <w:tcW w:w="1924" w:type="pct"/>
            <w:vMerge/>
          </w:tcPr>
          <w:p w14:paraId="095ED6DE" w14:textId="77777777" w:rsidR="00404EEC" w:rsidRPr="00CE70AA" w:rsidRDefault="00404EEC" w:rsidP="00E52D07">
            <w:pPr>
              <w:widowControl w:val="0"/>
              <w:autoSpaceDE w:val="0"/>
              <w:autoSpaceDN w:val="0"/>
              <w:adjustRightInd w:val="0"/>
              <w:rPr>
                <w:rFonts w:cs="Arial"/>
              </w:rPr>
            </w:pPr>
          </w:p>
        </w:tc>
        <w:tc>
          <w:tcPr>
            <w:tcW w:w="1025" w:type="pct"/>
          </w:tcPr>
          <w:p w14:paraId="1665C4F6" w14:textId="77777777" w:rsidR="00404EEC" w:rsidRPr="00CE70AA" w:rsidRDefault="00404EEC" w:rsidP="00E52D07">
            <w:pPr>
              <w:widowControl w:val="0"/>
              <w:autoSpaceDE w:val="0"/>
              <w:autoSpaceDN w:val="0"/>
              <w:adjustRightInd w:val="0"/>
              <w:jc w:val="center"/>
              <w:rPr>
                <w:rFonts w:cs="Arial"/>
              </w:rPr>
            </w:pPr>
          </w:p>
        </w:tc>
        <w:tc>
          <w:tcPr>
            <w:tcW w:w="1025" w:type="pct"/>
          </w:tcPr>
          <w:p w14:paraId="5941E1B0" w14:textId="77777777" w:rsidR="00404EEC" w:rsidRPr="00CE70AA" w:rsidRDefault="00404EEC" w:rsidP="00E52D07">
            <w:pPr>
              <w:widowControl w:val="0"/>
              <w:autoSpaceDE w:val="0"/>
              <w:autoSpaceDN w:val="0"/>
              <w:adjustRightInd w:val="0"/>
              <w:jc w:val="center"/>
              <w:rPr>
                <w:rFonts w:cs="Arial"/>
              </w:rPr>
            </w:pPr>
          </w:p>
        </w:tc>
        <w:tc>
          <w:tcPr>
            <w:tcW w:w="1025" w:type="pct"/>
          </w:tcPr>
          <w:p w14:paraId="4F7C1259" w14:textId="77777777" w:rsidR="00404EEC" w:rsidRPr="00CE70AA" w:rsidRDefault="00404EEC" w:rsidP="00E52D07">
            <w:pPr>
              <w:widowControl w:val="0"/>
              <w:autoSpaceDE w:val="0"/>
              <w:autoSpaceDN w:val="0"/>
              <w:adjustRightInd w:val="0"/>
              <w:jc w:val="center"/>
              <w:rPr>
                <w:rFonts w:cs="Arial"/>
              </w:rPr>
            </w:pPr>
            <w:r w:rsidRPr="00CE70AA">
              <w:rPr>
                <w:rFonts w:cs="Arial"/>
              </w:rPr>
              <w:t>(0.250)</w:t>
            </w:r>
          </w:p>
        </w:tc>
      </w:tr>
      <w:tr w:rsidR="00404EEC" w:rsidRPr="00CE70AA" w14:paraId="5EA70A85" w14:textId="77777777" w:rsidTr="00E52D07">
        <w:tc>
          <w:tcPr>
            <w:tcW w:w="1924" w:type="pct"/>
          </w:tcPr>
          <w:p w14:paraId="4A0B71E2" w14:textId="77777777" w:rsidR="00404EEC" w:rsidRPr="00CE70AA" w:rsidRDefault="00404EEC" w:rsidP="00E52D07">
            <w:pPr>
              <w:widowControl w:val="0"/>
              <w:autoSpaceDE w:val="0"/>
              <w:autoSpaceDN w:val="0"/>
              <w:adjustRightInd w:val="0"/>
              <w:rPr>
                <w:rFonts w:cs="Arial"/>
              </w:rPr>
            </w:pPr>
            <w:r w:rsidRPr="00CE70AA">
              <w:rPr>
                <w:rFonts w:cs="Arial"/>
              </w:rPr>
              <w:t>Constant</w:t>
            </w:r>
          </w:p>
        </w:tc>
        <w:tc>
          <w:tcPr>
            <w:tcW w:w="1025" w:type="pct"/>
          </w:tcPr>
          <w:p w14:paraId="341CD01B" w14:textId="77777777" w:rsidR="00404EEC" w:rsidRPr="00CE70AA" w:rsidRDefault="00404EEC" w:rsidP="00E52D07">
            <w:pPr>
              <w:widowControl w:val="0"/>
              <w:autoSpaceDE w:val="0"/>
              <w:autoSpaceDN w:val="0"/>
              <w:adjustRightInd w:val="0"/>
              <w:jc w:val="center"/>
              <w:rPr>
                <w:rFonts w:cs="Arial"/>
              </w:rPr>
            </w:pPr>
            <w:r w:rsidRPr="00CE70AA">
              <w:rPr>
                <w:rFonts w:cs="Arial"/>
              </w:rPr>
              <w:t>2.028***</w:t>
            </w:r>
          </w:p>
        </w:tc>
        <w:tc>
          <w:tcPr>
            <w:tcW w:w="1025" w:type="pct"/>
          </w:tcPr>
          <w:p w14:paraId="50686FF4" w14:textId="77777777" w:rsidR="00404EEC" w:rsidRPr="00CE70AA" w:rsidRDefault="00404EEC" w:rsidP="00E52D07">
            <w:pPr>
              <w:widowControl w:val="0"/>
              <w:autoSpaceDE w:val="0"/>
              <w:autoSpaceDN w:val="0"/>
              <w:adjustRightInd w:val="0"/>
              <w:jc w:val="center"/>
              <w:rPr>
                <w:rFonts w:cs="Arial"/>
              </w:rPr>
            </w:pPr>
            <w:r w:rsidRPr="00CE70AA">
              <w:rPr>
                <w:rFonts w:cs="Arial"/>
              </w:rPr>
              <w:t>1.784***</w:t>
            </w:r>
          </w:p>
        </w:tc>
        <w:tc>
          <w:tcPr>
            <w:tcW w:w="1025" w:type="pct"/>
          </w:tcPr>
          <w:p w14:paraId="519BBCCE" w14:textId="77777777" w:rsidR="00404EEC" w:rsidRPr="00CE70AA" w:rsidRDefault="00404EEC" w:rsidP="00E52D07">
            <w:pPr>
              <w:widowControl w:val="0"/>
              <w:autoSpaceDE w:val="0"/>
              <w:autoSpaceDN w:val="0"/>
              <w:adjustRightInd w:val="0"/>
              <w:jc w:val="center"/>
              <w:rPr>
                <w:rFonts w:cs="Arial"/>
              </w:rPr>
            </w:pPr>
            <w:r w:rsidRPr="00CE70AA">
              <w:rPr>
                <w:rFonts w:cs="Arial"/>
              </w:rPr>
              <w:t>1.840***</w:t>
            </w:r>
          </w:p>
        </w:tc>
      </w:tr>
      <w:tr w:rsidR="00404EEC" w:rsidRPr="00CE70AA" w14:paraId="4F2E779C" w14:textId="77777777" w:rsidTr="00E52D07">
        <w:tc>
          <w:tcPr>
            <w:tcW w:w="1924" w:type="pct"/>
          </w:tcPr>
          <w:p w14:paraId="494B686F" w14:textId="77777777" w:rsidR="00404EEC" w:rsidRPr="00CE70AA" w:rsidRDefault="00404EEC" w:rsidP="00E52D07">
            <w:pPr>
              <w:widowControl w:val="0"/>
              <w:autoSpaceDE w:val="0"/>
              <w:autoSpaceDN w:val="0"/>
              <w:adjustRightInd w:val="0"/>
              <w:rPr>
                <w:rFonts w:cs="Arial"/>
              </w:rPr>
            </w:pPr>
          </w:p>
        </w:tc>
        <w:tc>
          <w:tcPr>
            <w:tcW w:w="1025" w:type="pct"/>
          </w:tcPr>
          <w:p w14:paraId="6CF2352D" w14:textId="77777777" w:rsidR="00404EEC" w:rsidRPr="00CE70AA" w:rsidRDefault="00404EEC" w:rsidP="00E52D07">
            <w:pPr>
              <w:widowControl w:val="0"/>
              <w:autoSpaceDE w:val="0"/>
              <w:autoSpaceDN w:val="0"/>
              <w:adjustRightInd w:val="0"/>
              <w:jc w:val="center"/>
              <w:rPr>
                <w:rFonts w:cs="Arial"/>
              </w:rPr>
            </w:pPr>
            <w:r w:rsidRPr="00CE70AA">
              <w:rPr>
                <w:rFonts w:cs="Arial"/>
              </w:rPr>
              <w:t>(0.195)</w:t>
            </w:r>
          </w:p>
        </w:tc>
        <w:tc>
          <w:tcPr>
            <w:tcW w:w="1025" w:type="pct"/>
          </w:tcPr>
          <w:p w14:paraId="22EEEACC" w14:textId="77777777" w:rsidR="00404EEC" w:rsidRPr="00CE70AA" w:rsidRDefault="00404EEC" w:rsidP="00E52D07">
            <w:pPr>
              <w:widowControl w:val="0"/>
              <w:autoSpaceDE w:val="0"/>
              <w:autoSpaceDN w:val="0"/>
              <w:adjustRightInd w:val="0"/>
              <w:jc w:val="center"/>
              <w:rPr>
                <w:rFonts w:cs="Arial"/>
              </w:rPr>
            </w:pPr>
            <w:r w:rsidRPr="00CE70AA">
              <w:rPr>
                <w:rFonts w:cs="Arial"/>
              </w:rPr>
              <w:t>(0.213)</w:t>
            </w:r>
          </w:p>
        </w:tc>
        <w:tc>
          <w:tcPr>
            <w:tcW w:w="1025" w:type="pct"/>
          </w:tcPr>
          <w:p w14:paraId="42B259DE" w14:textId="77777777" w:rsidR="00404EEC" w:rsidRPr="00CE70AA" w:rsidRDefault="00404EEC" w:rsidP="00E52D07">
            <w:pPr>
              <w:widowControl w:val="0"/>
              <w:autoSpaceDE w:val="0"/>
              <w:autoSpaceDN w:val="0"/>
              <w:adjustRightInd w:val="0"/>
              <w:jc w:val="center"/>
              <w:rPr>
                <w:rFonts w:cs="Arial"/>
              </w:rPr>
            </w:pPr>
            <w:r w:rsidRPr="00CE70AA">
              <w:rPr>
                <w:rFonts w:cs="Arial"/>
              </w:rPr>
              <w:t>(0.195)</w:t>
            </w:r>
          </w:p>
        </w:tc>
      </w:tr>
      <w:tr w:rsidR="00404EEC" w:rsidRPr="00CE70AA" w14:paraId="121B0BBC" w14:textId="77777777" w:rsidTr="00E52D07">
        <w:tc>
          <w:tcPr>
            <w:tcW w:w="1924" w:type="pct"/>
          </w:tcPr>
          <w:p w14:paraId="44AF6CF8" w14:textId="77777777" w:rsidR="00404EEC" w:rsidRPr="00CE70AA" w:rsidRDefault="00404EEC" w:rsidP="00E52D07">
            <w:pPr>
              <w:widowControl w:val="0"/>
              <w:autoSpaceDE w:val="0"/>
              <w:autoSpaceDN w:val="0"/>
              <w:adjustRightInd w:val="0"/>
              <w:rPr>
                <w:rFonts w:cs="Arial"/>
              </w:rPr>
            </w:pPr>
            <w:r w:rsidRPr="00CE70AA">
              <w:rPr>
                <w:rFonts w:cs="Arial"/>
              </w:rPr>
              <w:t>Observations</w:t>
            </w:r>
          </w:p>
        </w:tc>
        <w:tc>
          <w:tcPr>
            <w:tcW w:w="1025" w:type="pct"/>
          </w:tcPr>
          <w:p w14:paraId="18F44302" w14:textId="77777777" w:rsidR="00404EEC" w:rsidRPr="00CE70AA" w:rsidRDefault="00404EEC" w:rsidP="00E52D07">
            <w:pPr>
              <w:widowControl w:val="0"/>
              <w:autoSpaceDE w:val="0"/>
              <w:autoSpaceDN w:val="0"/>
              <w:adjustRightInd w:val="0"/>
              <w:jc w:val="center"/>
              <w:rPr>
                <w:rFonts w:cs="Arial"/>
              </w:rPr>
            </w:pPr>
            <w:r w:rsidRPr="00CE70AA">
              <w:rPr>
                <w:rFonts w:cs="Arial"/>
              </w:rPr>
              <w:t>16,195</w:t>
            </w:r>
          </w:p>
        </w:tc>
        <w:tc>
          <w:tcPr>
            <w:tcW w:w="1025" w:type="pct"/>
          </w:tcPr>
          <w:p w14:paraId="6DBB6031" w14:textId="77777777" w:rsidR="00404EEC" w:rsidRPr="00CE70AA" w:rsidRDefault="00404EEC" w:rsidP="00E52D07">
            <w:pPr>
              <w:widowControl w:val="0"/>
              <w:autoSpaceDE w:val="0"/>
              <w:autoSpaceDN w:val="0"/>
              <w:adjustRightInd w:val="0"/>
              <w:jc w:val="center"/>
              <w:rPr>
                <w:rFonts w:cs="Arial"/>
              </w:rPr>
            </w:pPr>
            <w:r w:rsidRPr="00CE70AA">
              <w:rPr>
                <w:rFonts w:cs="Arial"/>
              </w:rPr>
              <w:t>16,195</w:t>
            </w:r>
          </w:p>
        </w:tc>
        <w:tc>
          <w:tcPr>
            <w:tcW w:w="1025" w:type="pct"/>
          </w:tcPr>
          <w:p w14:paraId="4866280B" w14:textId="77777777" w:rsidR="00404EEC" w:rsidRPr="00CE70AA" w:rsidRDefault="00404EEC" w:rsidP="00E52D07">
            <w:pPr>
              <w:widowControl w:val="0"/>
              <w:autoSpaceDE w:val="0"/>
              <w:autoSpaceDN w:val="0"/>
              <w:adjustRightInd w:val="0"/>
              <w:jc w:val="center"/>
              <w:rPr>
                <w:rFonts w:cs="Arial"/>
              </w:rPr>
            </w:pPr>
            <w:r w:rsidRPr="00CE70AA">
              <w:rPr>
                <w:rFonts w:cs="Arial"/>
              </w:rPr>
              <w:t>16,195</w:t>
            </w:r>
          </w:p>
        </w:tc>
      </w:tr>
      <w:tr w:rsidR="00404EEC" w:rsidRPr="00CE70AA" w14:paraId="585CF555" w14:textId="77777777" w:rsidTr="00E52D07">
        <w:tc>
          <w:tcPr>
            <w:tcW w:w="1924" w:type="pct"/>
          </w:tcPr>
          <w:p w14:paraId="329DE7B1" w14:textId="77777777" w:rsidR="00404EEC" w:rsidRPr="00CE70AA" w:rsidRDefault="00404EEC" w:rsidP="00E52D07">
            <w:pPr>
              <w:widowControl w:val="0"/>
              <w:autoSpaceDE w:val="0"/>
              <w:autoSpaceDN w:val="0"/>
              <w:adjustRightInd w:val="0"/>
              <w:rPr>
                <w:rFonts w:cs="Arial"/>
              </w:rPr>
            </w:pPr>
            <w:r w:rsidRPr="00CE70AA">
              <w:rPr>
                <w:rFonts w:cs="Arial"/>
              </w:rPr>
              <w:t xml:space="preserve">Number of </w:t>
            </w:r>
            <w:proofErr w:type="spellStart"/>
            <w:r w:rsidRPr="00CE70AA">
              <w:rPr>
                <w:rFonts w:cs="Arial"/>
              </w:rPr>
              <w:t>Teacher_Year</w:t>
            </w:r>
            <w:proofErr w:type="spellEnd"/>
          </w:p>
        </w:tc>
        <w:tc>
          <w:tcPr>
            <w:tcW w:w="1025" w:type="pct"/>
          </w:tcPr>
          <w:p w14:paraId="6ECE3436" w14:textId="77777777" w:rsidR="00404EEC" w:rsidRPr="00CE70AA" w:rsidRDefault="00404EEC" w:rsidP="00E52D07">
            <w:pPr>
              <w:widowControl w:val="0"/>
              <w:autoSpaceDE w:val="0"/>
              <w:autoSpaceDN w:val="0"/>
              <w:adjustRightInd w:val="0"/>
              <w:jc w:val="center"/>
              <w:rPr>
                <w:rFonts w:cs="Arial"/>
              </w:rPr>
            </w:pPr>
            <w:r w:rsidRPr="00CE70AA">
              <w:rPr>
                <w:rFonts w:cs="Arial"/>
              </w:rPr>
              <w:t>245</w:t>
            </w:r>
          </w:p>
        </w:tc>
        <w:tc>
          <w:tcPr>
            <w:tcW w:w="1025" w:type="pct"/>
          </w:tcPr>
          <w:p w14:paraId="77B5DD52" w14:textId="77777777" w:rsidR="00404EEC" w:rsidRPr="00CE70AA" w:rsidRDefault="00404EEC" w:rsidP="00E52D07">
            <w:pPr>
              <w:widowControl w:val="0"/>
              <w:autoSpaceDE w:val="0"/>
              <w:autoSpaceDN w:val="0"/>
              <w:adjustRightInd w:val="0"/>
              <w:jc w:val="center"/>
              <w:rPr>
                <w:rFonts w:cs="Arial"/>
              </w:rPr>
            </w:pPr>
            <w:r w:rsidRPr="00CE70AA">
              <w:rPr>
                <w:rFonts w:cs="Arial"/>
              </w:rPr>
              <w:t>245</w:t>
            </w:r>
          </w:p>
        </w:tc>
        <w:tc>
          <w:tcPr>
            <w:tcW w:w="1025" w:type="pct"/>
          </w:tcPr>
          <w:p w14:paraId="16F88D99" w14:textId="77777777" w:rsidR="00404EEC" w:rsidRPr="00CE70AA" w:rsidRDefault="00404EEC" w:rsidP="00E52D07">
            <w:pPr>
              <w:widowControl w:val="0"/>
              <w:autoSpaceDE w:val="0"/>
              <w:autoSpaceDN w:val="0"/>
              <w:adjustRightInd w:val="0"/>
              <w:jc w:val="center"/>
              <w:rPr>
                <w:rFonts w:cs="Arial"/>
              </w:rPr>
            </w:pPr>
            <w:r w:rsidRPr="00CE70AA">
              <w:rPr>
                <w:rFonts w:cs="Arial"/>
              </w:rPr>
              <w:t>245</w:t>
            </w:r>
          </w:p>
        </w:tc>
      </w:tr>
      <w:tr w:rsidR="00404EEC" w:rsidRPr="00CE70AA" w14:paraId="53C73705" w14:textId="77777777" w:rsidTr="00E52D07">
        <w:tc>
          <w:tcPr>
            <w:tcW w:w="1924" w:type="pct"/>
          </w:tcPr>
          <w:p w14:paraId="013C940D" w14:textId="77777777" w:rsidR="00404EEC" w:rsidRPr="00CE70AA" w:rsidRDefault="00404EEC" w:rsidP="00E52D07">
            <w:pPr>
              <w:widowControl w:val="0"/>
              <w:autoSpaceDE w:val="0"/>
              <w:autoSpaceDN w:val="0"/>
              <w:adjustRightInd w:val="0"/>
              <w:rPr>
                <w:rFonts w:cs="Arial"/>
              </w:rPr>
            </w:pPr>
            <w:r w:rsidRPr="00CE70AA">
              <w:rPr>
                <w:rFonts w:cs="Arial"/>
              </w:rPr>
              <w:t xml:space="preserve">Level 2 residual variance </w:t>
            </w:r>
          </w:p>
        </w:tc>
        <w:tc>
          <w:tcPr>
            <w:tcW w:w="1025" w:type="pct"/>
          </w:tcPr>
          <w:p w14:paraId="0C0865DB" w14:textId="77777777" w:rsidR="00404EEC" w:rsidRPr="00CE70AA" w:rsidRDefault="00404EEC" w:rsidP="00E52D07">
            <w:pPr>
              <w:widowControl w:val="0"/>
              <w:autoSpaceDE w:val="0"/>
              <w:autoSpaceDN w:val="0"/>
              <w:adjustRightInd w:val="0"/>
              <w:jc w:val="center"/>
              <w:rPr>
                <w:rFonts w:cs="Arial"/>
              </w:rPr>
            </w:pPr>
            <w:r w:rsidRPr="00CE70AA">
              <w:rPr>
                <w:rFonts w:cs="Arial"/>
              </w:rPr>
              <w:t>0.419</w:t>
            </w:r>
          </w:p>
        </w:tc>
        <w:tc>
          <w:tcPr>
            <w:tcW w:w="1025" w:type="pct"/>
          </w:tcPr>
          <w:p w14:paraId="39383FB4" w14:textId="77777777" w:rsidR="00404EEC" w:rsidRPr="00CE70AA" w:rsidRDefault="00404EEC" w:rsidP="00E52D07">
            <w:pPr>
              <w:widowControl w:val="0"/>
              <w:autoSpaceDE w:val="0"/>
              <w:autoSpaceDN w:val="0"/>
              <w:adjustRightInd w:val="0"/>
              <w:jc w:val="center"/>
              <w:rPr>
                <w:rFonts w:cs="Arial"/>
              </w:rPr>
            </w:pPr>
            <w:r w:rsidRPr="00CE70AA">
              <w:rPr>
                <w:rFonts w:cs="Arial"/>
              </w:rPr>
              <w:t>0.394</w:t>
            </w:r>
          </w:p>
        </w:tc>
        <w:tc>
          <w:tcPr>
            <w:tcW w:w="1025" w:type="pct"/>
          </w:tcPr>
          <w:p w14:paraId="3DF0A3C3" w14:textId="77777777" w:rsidR="00404EEC" w:rsidRPr="00CE70AA" w:rsidRDefault="00404EEC" w:rsidP="00E52D07">
            <w:pPr>
              <w:widowControl w:val="0"/>
              <w:autoSpaceDE w:val="0"/>
              <w:autoSpaceDN w:val="0"/>
              <w:adjustRightInd w:val="0"/>
              <w:jc w:val="center"/>
              <w:rPr>
                <w:rFonts w:cs="Arial"/>
              </w:rPr>
            </w:pPr>
            <w:r w:rsidRPr="00CE70AA">
              <w:rPr>
                <w:rFonts w:cs="Arial"/>
              </w:rPr>
              <w:t>0.392</w:t>
            </w:r>
          </w:p>
        </w:tc>
      </w:tr>
      <w:tr w:rsidR="00404EEC" w:rsidRPr="00CE70AA" w14:paraId="1DC3DF64" w14:textId="77777777" w:rsidTr="00E52D07">
        <w:tc>
          <w:tcPr>
            <w:tcW w:w="1924" w:type="pct"/>
          </w:tcPr>
          <w:p w14:paraId="1C96AA16" w14:textId="77777777" w:rsidR="00404EEC" w:rsidRPr="00CE70AA" w:rsidRDefault="00404EEC" w:rsidP="00E52D07">
            <w:pPr>
              <w:widowControl w:val="0"/>
              <w:autoSpaceDE w:val="0"/>
              <w:autoSpaceDN w:val="0"/>
              <w:adjustRightInd w:val="0"/>
              <w:rPr>
                <w:rFonts w:cs="Arial"/>
              </w:rPr>
            </w:pPr>
            <w:r w:rsidRPr="00CE70AA">
              <w:rPr>
                <w:rFonts w:cs="Arial"/>
              </w:rPr>
              <w:t>Level 1 residual variance</w:t>
            </w:r>
          </w:p>
        </w:tc>
        <w:tc>
          <w:tcPr>
            <w:tcW w:w="1025" w:type="pct"/>
          </w:tcPr>
          <w:p w14:paraId="5B07DDB7" w14:textId="77777777" w:rsidR="00404EEC" w:rsidRPr="00CE70AA" w:rsidRDefault="00404EEC" w:rsidP="00E52D07">
            <w:pPr>
              <w:widowControl w:val="0"/>
              <w:autoSpaceDE w:val="0"/>
              <w:autoSpaceDN w:val="0"/>
              <w:adjustRightInd w:val="0"/>
              <w:jc w:val="center"/>
              <w:rPr>
                <w:rFonts w:cs="Arial"/>
              </w:rPr>
            </w:pPr>
            <w:r w:rsidRPr="00CE70AA">
              <w:rPr>
                <w:rFonts w:cs="Arial"/>
              </w:rPr>
              <w:t>0.909</w:t>
            </w:r>
          </w:p>
        </w:tc>
        <w:tc>
          <w:tcPr>
            <w:tcW w:w="1025" w:type="pct"/>
          </w:tcPr>
          <w:p w14:paraId="57D19982" w14:textId="77777777" w:rsidR="00404EEC" w:rsidRPr="00CE70AA" w:rsidRDefault="00404EEC" w:rsidP="00E52D07">
            <w:pPr>
              <w:widowControl w:val="0"/>
              <w:autoSpaceDE w:val="0"/>
              <w:autoSpaceDN w:val="0"/>
              <w:adjustRightInd w:val="0"/>
              <w:jc w:val="center"/>
              <w:rPr>
                <w:rFonts w:cs="Arial"/>
              </w:rPr>
            </w:pPr>
            <w:r w:rsidRPr="00CE70AA">
              <w:rPr>
                <w:rFonts w:cs="Arial"/>
              </w:rPr>
              <w:t>0.909</w:t>
            </w:r>
          </w:p>
        </w:tc>
        <w:tc>
          <w:tcPr>
            <w:tcW w:w="1025" w:type="pct"/>
          </w:tcPr>
          <w:p w14:paraId="1EFAFCE0" w14:textId="77777777" w:rsidR="00404EEC" w:rsidRPr="00CE70AA" w:rsidRDefault="00404EEC" w:rsidP="00E52D07">
            <w:pPr>
              <w:widowControl w:val="0"/>
              <w:autoSpaceDE w:val="0"/>
              <w:autoSpaceDN w:val="0"/>
              <w:adjustRightInd w:val="0"/>
              <w:jc w:val="center"/>
              <w:rPr>
                <w:rFonts w:cs="Arial"/>
              </w:rPr>
            </w:pPr>
            <w:r w:rsidRPr="00CE70AA">
              <w:rPr>
                <w:rFonts w:cs="Arial"/>
              </w:rPr>
              <w:t>0.909</w:t>
            </w:r>
          </w:p>
        </w:tc>
      </w:tr>
    </w:tbl>
    <w:p w14:paraId="7E5DB3C6" w14:textId="77777777" w:rsidR="00404EEC" w:rsidRDefault="00404EEC" w:rsidP="00404EEC">
      <w:pPr>
        <w:widowControl w:val="0"/>
        <w:autoSpaceDE w:val="0"/>
        <w:autoSpaceDN w:val="0"/>
        <w:adjustRightInd w:val="0"/>
        <w:spacing w:afterLines="60" w:after="144"/>
        <w:rPr>
          <w:rFonts w:cs="Arial"/>
          <w:i/>
        </w:rPr>
      </w:pPr>
    </w:p>
    <w:p w14:paraId="6BC6B8D3" w14:textId="77777777" w:rsidR="00404EEC" w:rsidRDefault="00404EEC" w:rsidP="00404EEC">
      <w:pPr>
        <w:widowControl w:val="0"/>
        <w:autoSpaceDE w:val="0"/>
        <w:autoSpaceDN w:val="0"/>
        <w:adjustRightInd w:val="0"/>
        <w:spacing w:afterLines="60" w:after="144"/>
        <w:rPr>
          <w:rFonts w:cs="Arial"/>
          <w:i/>
        </w:rPr>
      </w:pPr>
    </w:p>
    <w:p w14:paraId="41AD6745" w14:textId="77777777" w:rsidR="00404EEC" w:rsidRDefault="00404EEC" w:rsidP="00404EEC">
      <w:pPr>
        <w:widowControl w:val="0"/>
        <w:autoSpaceDE w:val="0"/>
        <w:autoSpaceDN w:val="0"/>
        <w:adjustRightInd w:val="0"/>
        <w:spacing w:afterLines="60" w:after="144"/>
        <w:rPr>
          <w:rFonts w:cs="Arial"/>
          <w:i/>
        </w:rPr>
      </w:pPr>
    </w:p>
    <w:p w14:paraId="345F9C35" w14:textId="77777777" w:rsidR="00404EEC" w:rsidRDefault="00404EEC" w:rsidP="00404EEC">
      <w:pPr>
        <w:widowControl w:val="0"/>
        <w:autoSpaceDE w:val="0"/>
        <w:autoSpaceDN w:val="0"/>
        <w:adjustRightInd w:val="0"/>
        <w:spacing w:afterLines="60" w:after="144"/>
        <w:rPr>
          <w:rFonts w:cs="Arial"/>
          <w:i/>
        </w:rPr>
      </w:pPr>
    </w:p>
    <w:p w14:paraId="52F8646F" w14:textId="77777777" w:rsidR="00404EEC" w:rsidRDefault="00404EEC" w:rsidP="00404EEC">
      <w:pPr>
        <w:widowControl w:val="0"/>
        <w:autoSpaceDE w:val="0"/>
        <w:autoSpaceDN w:val="0"/>
        <w:adjustRightInd w:val="0"/>
        <w:spacing w:afterLines="60" w:after="144"/>
        <w:rPr>
          <w:rFonts w:cs="Arial"/>
          <w:i/>
        </w:rPr>
      </w:pPr>
    </w:p>
    <w:p w14:paraId="1E31E598" w14:textId="77777777" w:rsidR="00404EEC" w:rsidRDefault="00404EEC" w:rsidP="00404EEC">
      <w:pPr>
        <w:widowControl w:val="0"/>
        <w:autoSpaceDE w:val="0"/>
        <w:autoSpaceDN w:val="0"/>
        <w:adjustRightInd w:val="0"/>
        <w:spacing w:afterLines="60" w:after="144"/>
        <w:rPr>
          <w:rFonts w:cs="Arial"/>
          <w:i/>
        </w:rPr>
      </w:pPr>
    </w:p>
    <w:p w14:paraId="7B41C7F0" w14:textId="77777777" w:rsidR="00404EEC" w:rsidRDefault="00404EEC" w:rsidP="00404EEC">
      <w:pPr>
        <w:widowControl w:val="0"/>
        <w:autoSpaceDE w:val="0"/>
        <w:autoSpaceDN w:val="0"/>
        <w:adjustRightInd w:val="0"/>
        <w:spacing w:afterLines="60" w:after="144"/>
        <w:rPr>
          <w:rFonts w:cs="Arial"/>
          <w:i/>
        </w:rPr>
      </w:pPr>
    </w:p>
    <w:p w14:paraId="25A04C95" w14:textId="77777777" w:rsidR="00404EEC" w:rsidRDefault="00404EEC" w:rsidP="00404EEC">
      <w:pPr>
        <w:widowControl w:val="0"/>
        <w:autoSpaceDE w:val="0"/>
        <w:autoSpaceDN w:val="0"/>
        <w:adjustRightInd w:val="0"/>
        <w:spacing w:afterLines="60" w:after="144"/>
        <w:rPr>
          <w:rFonts w:cs="Arial"/>
          <w:i/>
        </w:rPr>
      </w:pPr>
    </w:p>
    <w:p w14:paraId="11A6B67D" w14:textId="77777777" w:rsidR="00404EEC" w:rsidRDefault="00404EEC" w:rsidP="00404EEC">
      <w:pPr>
        <w:widowControl w:val="0"/>
        <w:autoSpaceDE w:val="0"/>
        <w:autoSpaceDN w:val="0"/>
        <w:adjustRightInd w:val="0"/>
        <w:spacing w:afterLines="60" w:after="144"/>
        <w:rPr>
          <w:rFonts w:cs="Arial"/>
          <w:i/>
        </w:rPr>
      </w:pPr>
    </w:p>
    <w:p w14:paraId="43B3A264" w14:textId="77777777" w:rsidR="00404EEC" w:rsidRDefault="00404EEC" w:rsidP="00404EEC">
      <w:pPr>
        <w:widowControl w:val="0"/>
        <w:autoSpaceDE w:val="0"/>
        <w:autoSpaceDN w:val="0"/>
        <w:adjustRightInd w:val="0"/>
        <w:spacing w:afterLines="60" w:after="144"/>
        <w:rPr>
          <w:rFonts w:cs="Arial"/>
          <w:i/>
        </w:rPr>
      </w:pPr>
    </w:p>
    <w:p w14:paraId="5D69AD05" w14:textId="77777777" w:rsidR="00404EEC" w:rsidRDefault="00404EEC" w:rsidP="00404EEC">
      <w:pPr>
        <w:widowControl w:val="0"/>
        <w:autoSpaceDE w:val="0"/>
        <w:autoSpaceDN w:val="0"/>
        <w:adjustRightInd w:val="0"/>
        <w:spacing w:afterLines="60" w:after="144"/>
        <w:rPr>
          <w:rFonts w:cs="Arial"/>
          <w:i/>
        </w:rPr>
      </w:pPr>
    </w:p>
    <w:p w14:paraId="3A1F78BA" w14:textId="77777777" w:rsidR="00404EEC" w:rsidRDefault="00404EEC" w:rsidP="00404EEC">
      <w:pPr>
        <w:widowControl w:val="0"/>
        <w:autoSpaceDE w:val="0"/>
        <w:autoSpaceDN w:val="0"/>
        <w:adjustRightInd w:val="0"/>
        <w:spacing w:afterLines="60" w:after="144"/>
        <w:rPr>
          <w:rFonts w:cs="Arial"/>
          <w:i/>
        </w:rPr>
      </w:pPr>
    </w:p>
    <w:p w14:paraId="64673E3A" w14:textId="77777777" w:rsidR="00404EEC" w:rsidRDefault="00404EEC" w:rsidP="00404EEC">
      <w:pPr>
        <w:widowControl w:val="0"/>
        <w:autoSpaceDE w:val="0"/>
        <w:autoSpaceDN w:val="0"/>
        <w:adjustRightInd w:val="0"/>
        <w:spacing w:afterLines="60" w:after="144"/>
        <w:rPr>
          <w:rFonts w:cs="Arial"/>
          <w:i/>
        </w:rPr>
      </w:pPr>
    </w:p>
    <w:p w14:paraId="67CB1BEC" w14:textId="77777777" w:rsidR="00404EEC" w:rsidRDefault="00404EEC" w:rsidP="00404EEC">
      <w:pPr>
        <w:widowControl w:val="0"/>
        <w:autoSpaceDE w:val="0"/>
        <w:autoSpaceDN w:val="0"/>
        <w:adjustRightInd w:val="0"/>
        <w:spacing w:afterLines="60" w:after="144"/>
        <w:rPr>
          <w:rFonts w:cs="Arial"/>
          <w:i/>
        </w:rPr>
      </w:pPr>
    </w:p>
    <w:p w14:paraId="75FB194D" w14:textId="77777777" w:rsidR="00404EEC" w:rsidRDefault="00404EEC" w:rsidP="00404EEC">
      <w:pPr>
        <w:widowControl w:val="0"/>
        <w:autoSpaceDE w:val="0"/>
        <w:autoSpaceDN w:val="0"/>
        <w:adjustRightInd w:val="0"/>
        <w:spacing w:afterLines="60" w:after="144"/>
        <w:rPr>
          <w:rFonts w:cs="Arial"/>
          <w:i/>
        </w:rPr>
      </w:pPr>
    </w:p>
    <w:p w14:paraId="3D06A6BE" w14:textId="77777777" w:rsidR="00404EEC" w:rsidRDefault="00404EEC" w:rsidP="00404EEC">
      <w:pPr>
        <w:widowControl w:val="0"/>
        <w:autoSpaceDE w:val="0"/>
        <w:autoSpaceDN w:val="0"/>
        <w:adjustRightInd w:val="0"/>
        <w:spacing w:afterLines="60" w:after="144"/>
        <w:rPr>
          <w:rFonts w:cs="Arial"/>
          <w:i/>
        </w:rPr>
      </w:pPr>
    </w:p>
    <w:p w14:paraId="4337A5F5" w14:textId="77777777" w:rsidR="00404EEC" w:rsidRDefault="00404EEC" w:rsidP="00404EEC">
      <w:pPr>
        <w:widowControl w:val="0"/>
        <w:autoSpaceDE w:val="0"/>
        <w:autoSpaceDN w:val="0"/>
        <w:adjustRightInd w:val="0"/>
        <w:spacing w:afterLines="60" w:after="144"/>
        <w:rPr>
          <w:rFonts w:cs="Arial"/>
          <w:i/>
        </w:rPr>
      </w:pPr>
    </w:p>
    <w:p w14:paraId="48E6872A" w14:textId="77777777" w:rsidR="00404EEC" w:rsidRDefault="00404EEC" w:rsidP="00404EEC">
      <w:pPr>
        <w:widowControl w:val="0"/>
        <w:autoSpaceDE w:val="0"/>
        <w:autoSpaceDN w:val="0"/>
        <w:adjustRightInd w:val="0"/>
        <w:spacing w:afterLines="60" w:after="144"/>
        <w:rPr>
          <w:rFonts w:cs="Arial"/>
          <w:i/>
        </w:rPr>
      </w:pPr>
    </w:p>
    <w:p w14:paraId="4EDC23F5" w14:textId="77777777" w:rsidR="00404EEC" w:rsidRDefault="00404EEC" w:rsidP="00404EEC">
      <w:pPr>
        <w:widowControl w:val="0"/>
        <w:autoSpaceDE w:val="0"/>
        <w:autoSpaceDN w:val="0"/>
        <w:adjustRightInd w:val="0"/>
        <w:spacing w:afterLines="60" w:after="144"/>
        <w:rPr>
          <w:rFonts w:cs="Arial"/>
          <w:i/>
        </w:rPr>
      </w:pPr>
    </w:p>
    <w:p w14:paraId="6E5C55B4" w14:textId="77777777" w:rsidR="00404EEC" w:rsidRPr="00CE70AA" w:rsidRDefault="00404EEC" w:rsidP="004F6254">
      <w:pPr>
        <w:widowControl w:val="0"/>
        <w:autoSpaceDE w:val="0"/>
        <w:autoSpaceDN w:val="0"/>
        <w:adjustRightInd w:val="0"/>
        <w:spacing w:afterLines="60" w:after="144"/>
        <w:rPr>
          <w:rFonts w:cs="Arial"/>
        </w:rPr>
      </w:pPr>
      <w:r w:rsidRPr="00CE70AA">
        <w:rPr>
          <w:rFonts w:cs="Arial"/>
          <w:i/>
        </w:rPr>
        <w:t xml:space="preserve">Notes. </w:t>
      </w:r>
      <w:r w:rsidRPr="00CE70AA">
        <w:rPr>
          <w:rFonts w:eastAsia="PMingLiU" w:cs="Arial"/>
        </w:rPr>
        <w:t>S</w:t>
      </w:r>
      <w:r w:rsidRPr="00CE70AA">
        <w:rPr>
          <w:rFonts w:cs="Arial"/>
        </w:rPr>
        <w:t xml:space="preserve">tandard error in parentheses. *** </w:t>
      </w:r>
      <w:r w:rsidRPr="00CE70AA">
        <w:rPr>
          <w:rFonts w:cs="Arial"/>
          <w:i/>
          <w:iCs/>
        </w:rPr>
        <w:t xml:space="preserve">p </w:t>
      </w:r>
      <w:r w:rsidRPr="00CE70AA">
        <w:rPr>
          <w:rFonts w:cs="Arial"/>
        </w:rPr>
        <w:t xml:space="preserve">&lt; 0.001, ** </w:t>
      </w:r>
      <w:r w:rsidRPr="00CE70AA">
        <w:rPr>
          <w:rFonts w:cs="Arial"/>
          <w:i/>
          <w:iCs/>
        </w:rPr>
        <w:t>p</w:t>
      </w:r>
      <w:r w:rsidRPr="00CE70AA">
        <w:rPr>
          <w:rFonts w:cs="Arial"/>
        </w:rPr>
        <w:t xml:space="preserve"> &lt; 0.01, * </w:t>
      </w:r>
      <w:r w:rsidRPr="00CE70AA">
        <w:rPr>
          <w:rFonts w:cs="Arial"/>
          <w:i/>
          <w:iCs/>
        </w:rPr>
        <w:t>p</w:t>
      </w:r>
      <w:r w:rsidRPr="00CE70AA">
        <w:rPr>
          <w:rFonts w:cs="Arial"/>
        </w:rPr>
        <w:t xml:space="preserve"> &lt; 0.05.</w:t>
      </w:r>
    </w:p>
    <w:p w14:paraId="6750C337" w14:textId="77777777" w:rsidR="00404EEC" w:rsidRDefault="00404EEC" w:rsidP="00404EEC"/>
    <w:p w14:paraId="48C134D5" w14:textId="27DE4422" w:rsidR="002E7475" w:rsidRDefault="003F183C" w:rsidP="00503271">
      <w:pPr>
        <w:pStyle w:val="standard"/>
      </w:pPr>
      <w:r>
        <w:t>W</w:t>
      </w:r>
      <w:r w:rsidR="007A02C6" w:rsidRPr="00CE70AA">
        <w:t xml:space="preserve">e </w:t>
      </w:r>
      <w:r w:rsidR="000B5C97">
        <w:t>conducted</w:t>
      </w:r>
      <w:r w:rsidR="000B5C97" w:rsidRPr="00CE70AA">
        <w:t xml:space="preserve"> </w:t>
      </w:r>
      <w:r w:rsidR="00EC2C7D">
        <w:t>robustness</w:t>
      </w:r>
      <w:r w:rsidR="007A02C6" w:rsidRPr="00CE70AA">
        <w:t xml:space="preserve"> analys</w:t>
      </w:r>
      <w:r w:rsidR="0076398E">
        <w:t>e</w:t>
      </w:r>
      <w:r w:rsidR="007A02C6" w:rsidRPr="00CE70AA">
        <w:t xml:space="preserve">s to </w:t>
      </w:r>
      <w:r w:rsidR="00BF3E4A">
        <w:t>evaluate</w:t>
      </w:r>
      <w:r w:rsidR="007A02C6" w:rsidRPr="00CE70AA">
        <w:t xml:space="preserve"> our inference that participation in</w:t>
      </w:r>
      <w:r w:rsidR="009A6E95">
        <w:t xml:space="preserve"> </w:t>
      </w:r>
      <w:r w:rsidR="007A02C6" w:rsidRPr="00CE70AA">
        <w:rPr>
          <w:i/>
        </w:rPr>
        <w:t>Carbon TIME</w:t>
      </w:r>
      <w:r w:rsidR="007A02C6" w:rsidRPr="000F3BFB">
        <w:rPr>
          <w:i/>
        </w:rPr>
        <w:t xml:space="preserve"> </w:t>
      </w:r>
      <w:r w:rsidR="007A02C6" w:rsidRPr="00CE70AA">
        <w:t xml:space="preserve">reduced </w:t>
      </w:r>
      <w:r w:rsidR="000B5C97">
        <w:t>differences among student test scores</w:t>
      </w:r>
      <w:r w:rsidR="007A02C6" w:rsidRPr="00CE70AA">
        <w:t xml:space="preserve"> </w:t>
      </w:r>
      <w:r w:rsidR="007A02C6" w:rsidRPr="00105D5C">
        <w:rPr>
          <w:i/>
        </w:rPr>
        <w:t>within</w:t>
      </w:r>
      <w:r w:rsidR="007A02C6" w:rsidRPr="00CE70AA">
        <w:t xml:space="preserve"> classrooms. </w:t>
      </w:r>
      <w:r w:rsidR="00C65AF9">
        <w:t>These analyses indicated that t</w:t>
      </w:r>
      <w:r w:rsidR="007A02C6" w:rsidRPr="00CE70AA">
        <w:t xml:space="preserve">o invalidate the inference that students with lower pretest </w:t>
      </w:r>
      <w:r w:rsidR="00C65AF9">
        <w:t>scores</w:t>
      </w:r>
      <w:r w:rsidR="007A02C6" w:rsidRPr="00CE70AA">
        <w:t xml:space="preserve"> showed higher learning gains, more than 96% of the estimate would have to be due to bias, based on </w:t>
      </w:r>
      <w:r w:rsidR="00C65AF9">
        <w:t xml:space="preserve">the </w:t>
      </w:r>
      <w:r w:rsidR="007A02C6" w:rsidRPr="00CE70AA">
        <w:t>conventional statistical significance at a 0.05 level (</w:t>
      </w:r>
      <w:r w:rsidR="007A02C6" w:rsidRPr="00CE70AA">
        <w:t>Frank et al.,</w:t>
      </w:r>
      <w:r w:rsidR="007A02C6" w:rsidRPr="00CE70AA">
        <w:t xml:space="preserve"> 2013). </w:t>
      </w:r>
      <w:r w:rsidR="006372A9">
        <w:t xml:space="preserve">Reinterpreted, </w:t>
      </w:r>
      <w:r w:rsidR="000D0C3B">
        <w:t>to invalidate th</w:t>
      </w:r>
      <w:r w:rsidR="004D57AA">
        <w:t>is</w:t>
      </w:r>
      <w:r w:rsidR="000D0C3B">
        <w:t xml:space="preserve"> inference, one </w:t>
      </w:r>
      <w:r w:rsidR="006372A9">
        <w:t xml:space="preserve">would </w:t>
      </w:r>
      <w:r w:rsidR="000D0C3B">
        <w:t>need to replace</w:t>
      </w:r>
      <w:r w:rsidR="00EC2C7D">
        <w:t xml:space="preserve"> 96% of the students in our analytical sample </w:t>
      </w:r>
      <w:r w:rsidR="004D57AA">
        <w:t>with</w:t>
      </w:r>
      <w:r w:rsidR="00EC2C7D">
        <w:t xml:space="preserve"> students who</w:t>
      </w:r>
      <w:r w:rsidR="00DB7C87">
        <w:t>se</w:t>
      </w:r>
      <w:r w:rsidR="00EC2C7D">
        <w:t xml:space="preserve"> pretest</w:t>
      </w:r>
      <w:r w:rsidR="00DB7C87">
        <w:t>s</w:t>
      </w:r>
      <w:r w:rsidR="00EC2C7D">
        <w:t xml:space="preserve"> ha</w:t>
      </w:r>
      <w:r w:rsidR="00DB7C87">
        <w:t>d</w:t>
      </w:r>
      <w:r w:rsidR="00EC2C7D">
        <w:t xml:space="preserve"> no effect on their learning gains</w:t>
      </w:r>
      <w:r w:rsidR="000D0C3B">
        <w:t xml:space="preserve">. </w:t>
      </w:r>
      <w:r w:rsidR="00BB22DE">
        <w:t>Thus</w:t>
      </w:r>
      <w:r w:rsidR="006372A9">
        <w:t>,</w:t>
      </w:r>
      <w:r w:rsidR="00D2062E">
        <w:t xml:space="preserve"> this</w:t>
      </w:r>
      <w:r w:rsidR="00F33365">
        <w:t xml:space="preserve"> </w:t>
      </w:r>
      <w:r w:rsidR="00575AA2">
        <w:t xml:space="preserve">is a highly robust inference compared with the studies reviewed in </w:t>
      </w:r>
      <w:r w:rsidR="00575AA2">
        <w:t>Frank et al</w:t>
      </w:r>
      <w:r w:rsidR="00AE2264">
        <w:t xml:space="preserve"> (2013). </w:t>
      </w:r>
    </w:p>
    <w:p w14:paraId="097BC81F" w14:textId="14E8A525" w:rsidR="007A02C6" w:rsidRPr="0013318C" w:rsidRDefault="00AE2264" w:rsidP="00503271">
      <w:pPr>
        <w:pStyle w:val="standard"/>
        <w:rPr>
          <w:color w:val="FF0000"/>
        </w:rPr>
      </w:pPr>
      <w:r>
        <w:t xml:space="preserve">Because we </w:t>
      </w:r>
      <w:r w:rsidR="00BF3E4A">
        <w:t xml:space="preserve">found </w:t>
      </w:r>
      <w:r>
        <w:t>a negative relationship between pre-test and gains, a</w:t>
      </w:r>
      <w:r w:rsidR="00C752B6">
        <w:t xml:space="preserve">nother threat to the </w:t>
      </w:r>
      <w:r w:rsidR="003E3282">
        <w:t xml:space="preserve">validity of the inference comes from </w:t>
      </w:r>
      <w:r w:rsidR="00F77035">
        <w:t xml:space="preserve">potential </w:t>
      </w:r>
      <w:r w:rsidR="003E3282">
        <w:t>measurement error in test scores. We checked for this possibility. T</w:t>
      </w:r>
      <w:r w:rsidR="007A02C6" w:rsidRPr="00CE70AA">
        <w:t xml:space="preserve">he standardized coefficient was –0.308. </w:t>
      </w:r>
      <w:r w:rsidR="00EC2C7D">
        <w:t>A</w:t>
      </w:r>
      <w:r w:rsidR="00EC2C7D" w:rsidRPr="00CE70AA">
        <w:t>fter adjusting for measurement error in pretest and learning gains (Willett, 1988)</w:t>
      </w:r>
      <w:r w:rsidR="00EC2C7D">
        <w:t>, the</w:t>
      </w:r>
      <w:r w:rsidR="007A02C6" w:rsidRPr="00CE70AA">
        <w:t xml:space="preserve"> partial correlation </w:t>
      </w:r>
      <w:r w:rsidR="00EC2C7D">
        <w:t xml:space="preserve">between pretest and learning gains </w:t>
      </w:r>
      <w:r w:rsidR="00F33365">
        <w:t>became</w:t>
      </w:r>
      <w:r w:rsidR="007A02C6" w:rsidRPr="00CE70AA">
        <w:t xml:space="preserve"> –0.290, which was still a strong</w:t>
      </w:r>
      <w:r w:rsidR="00832D93">
        <w:t xml:space="preserve"> and both statistically and practically</w:t>
      </w:r>
      <w:r w:rsidR="007A02C6" w:rsidRPr="00CE70AA">
        <w:t xml:space="preserve"> significant correlation.</w:t>
      </w:r>
      <w:r w:rsidR="00313789">
        <w:t xml:space="preserve"> There could also be concerns about omitted variables.</w:t>
      </w:r>
      <w:r w:rsidR="00E146B9">
        <w:t xml:space="preserve"> We calculated that </w:t>
      </w:r>
      <w:r w:rsidR="002A57BF">
        <w:t xml:space="preserve">an omitted confounder </w:t>
      </w:r>
      <w:r w:rsidR="00F77035">
        <w:t xml:space="preserve">would </w:t>
      </w:r>
      <w:r w:rsidR="002A57BF">
        <w:t xml:space="preserve">need to correlate with </w:t>
      </w:r>
      <w:r w:rsidR="0013318C">
        <w:t xml:space="preserve">both </w:t>
      </w:r>
      <w:r w:rsidR="002A57BF">
        <w:t>the pretest and learning gains at 0.598</w:t>
      </w:r>
      <w:r w:rsidR="007F71E1">
        <w:t xml:space="preserve"> (conditioning on other observed covariates) to invalidate the inference</w:t>
      </w:r>
      <w:r w:rsidR="004446D6">
        <w:t>. These are very high correlations, typically on the order observed for pre-tests</w:t>
      </w:r>
      <w:r w:rsidR="0013318C">
        <w:t xml:space="preserve">, indicating that </w:t>
      </w:r>
      <w:r w:rsidR="007A02C6" w:rsidRPr="00CE70AA">
        <w:t>our data showed strong</w:t>
      </w:r>
      <w:r w:rsidR="00832D93">
        <w:t>,</w:t>
      </w:r>
      <w:r w:rsidR="007A02C6" w:rsidRPr="00CE70AA">
        <w:t xml:space="preserve"> </w:t>
      </w:r>
      <w:r w:rsidR="009009AA">
        <w:t xml:space="preserve">robust </w:t>
      </w:r>
      <w:r w:rsidR="007A02C6" w:rsidRPr="00CE70AA">
        <w:t>evidence that</w:t>
      </w:r>
      <w:r w:rsidR="003C4849">
        <w:t xml:space="preserve"> </w:t>
      </w:r>
      <w:r w:rsidR="007A02C6" w:rsidRPr="00CE70AA">
        <w:rPr>
          <w:i/>
        </w:rPr>
        <w:t>Carbon TIME</w:t>
      </w:r>
      <w:r w:rsidR="003C4849" w:rsidRPr="000F3BFB">
        <w:rPr>
          <w:i/>
        </w:rPr>
        <w:t xml:space="preserve"> </w:t>
      </w:r>
      <w:r w:rsidR="003C4849">
        <w:t>r</w:t>
      </w:r>
      <w:r w:rsidR="007A02C6" w:rsidRPr="00CE70AA">
        <w:t xml:space="preserve">educed </w:t>
      </w:r>
      <w:r w:rsidR="00264B6B">
        <w:t>differences among student test scores</w:t>
      </w:r>
      <w:r w:rsidR="007A02C6" w:rsidRPr="00CE70AA">
        <w:t xml:space="preserve"> </w:t>
      </w:r>
      <w:r w:rsidR="007A02C6" w:rsidRPr="00C65418">
        <w:rPr>
          <w:i/>
        </w:rPr>
        <w:t xml:space="preserve">within </w:t>
      </w:r>
      <w:r w:rsidR="007A02C6" w:rsidRPr="00CE70AA">
        <w:t xml:space="preserve">classrooms. </w:t>
      </w:r>
    </w:p>
    <w:p w14:paraId="6CB914AA" w14:textId="3C143949" w:rsidR="007A02C6" w:rsidRPr="00CE70AA" w:rsidRDefault="007A02C6" w:rsidP="00CF0589">
      <w:pPr>
        <w:pStyle w:val="standard"/>
      </w:pPr>
      <w:r w:rsidRPr="00CE70AA">
        <w:t>Class average pretest scores were not significantly associated with student learning, so learning gains were not significantly different in classes with lower vs. higher average pretest scores. In other words, studying</w:t>
      </w:r>
      <w:r w:rsidR="003C4849">
        <w:t xml:space="preserve"> </w:t>
      </w:r>
      <w:r w:rsidRPr="00CE70AA">
        <w:rPr>
          <w:i/>
        </w:rPr>
        <w:t>Carbon TIME</w:t>
      </w:r>
      <w:r w:rsidR="003C4849">
        <w:t xml:space="preserve"> </w:t>
      </w:r>
      <w:r w:rsidRPr="00CE70AA">
        <w:t xml:space="preserve">reduced achievement differences within classrooms, but not between classrooms with different average pretest scores. (Also, as reported </w:t>
      </w:r>
      <w:r w:rsidRPr="00CE70AA">
        <w:lastRenderedPageBreak/>
        <w:t xml:space="preserve">above in the Method section, learning gains were not significantly different in middle school vs. high school classrooms.) </w:t>
      </w:r>
    </w:p>
    <w:p w14:paraId="135AC1EF" w14:textId="58C296A8" w:rsidR="007A02C6" w:rsidRPr="00CE70AA" w:rsidRDefault="007A02C6" w:rsidP="00CF0589">
      <w:pPr>
        <w:pStyle w:val="standard"/>
        <w:rPr>
          <w:lang w:eastAsia="zh-CN"/>
        </w:rPr>
      </w:pPr>
      <w:r w:rsidRPr="00CE70AA">
        <w:t xml:space="preserve">Note that the negative association we </w:t>
      </w:r>
      <w:r w:rsidR="00CE0C2A">
        <w:t>described</w:t>
      </w:r>
      <w:r w:rsidR="00CE0C2A" w:rsidRPr="00CE70AA">
        <w:t xml:space="preserve"> </w:t>
      </w:r>
      <w:r w:rsidRPr="00CE70AA">
        <w:t xml:space="preserve">above is between student </w:t>
      </w:r>
      <w:r w:rsidRPr="00CE70AA">
        <w:rPr>
          <w:i/>
        </w:rPr>
        <w:t>learning gain</w:t>
      </w:r>
      <w:r w:rsidRPr="00CE70AA">
        <w:t xml:space="preserve"> and students’ prior knowledge, where student learning gain is measured as the change from the full pretest to the average unit posttest. Students’ pretest scores were positively associated with posttest scores, indicating that the achievement gap was not reduced to zero. </w:t>
      </w:r>
    </w:p>
    <w:p w14:paraId="0F9965CD" w14:textId="6C5717D9" w:rsidR="005478E6" w:rsidRDefault="007A02C6" w:rsidP="00D12A4B">
      <w:pPr>
        <w:pStyle w:val="standard"/>
      </w:pPr>
      <w:r w:rsidRPr="00CE70AA">
        <w:rPr>
          <w:b/>
        </w:rPr>
        <w:t>Finding 1.c: Student learning increased from the first unit to the third unit.</w:t>
      </w:r>
      <w:r w:rsidRPr="00CE70AA">
        <w:t xml:space="preserve"> We also found evidence that as students moved from the first unit (</w:t>
      </w:r>
      <w:r w:rsidRPr="00CE70AA">
        <w:rPr>
          <w:i/>
        </w:rPr>
        <w:t>Systems and Scale</w:t>
      </w:r>
      <w:r w:rsidRPr="00CE70AA">
        <w:t>) to the third unit (</w:t>
      </w:r>
      <w:r w:rsidRPr="00CE70AA">
        <w:rPr>
          <w:i/>
        </w:rPr>
        <w:t>Plants</w:t>
      </w:r>
      <w:r w:rsidRPr="00CE70AA">
        <w:t>), their posttest performance improved, indicating a cumulative effect o</w:t>
      </w:r>
      <w:r w:rsidR="003C4849">
        <w:t xml:space="preserve">f </w:t>
      </w:r>
      <w:r w:rsidRPr="00CE70AA">
        <w:rPr>
          <w:i/>
        </w:rPr>
        <w:t>Carbon TIME</w:t>
      </w:r>
      <w:r w:rsidRPr="00CE70AA">
        <w:t xml:space="preserve">. Focusing on classrooms where teachers taught the three main units in the same order (first </w:t>
      </w:r>
      <w:r w:rsidRPr="00CE70AA">
        <w:rPr>
          <w:i/>
        </w:rPr>
        <w:t xml:space="preserve">Systems and Scale, </w:t>
      </w:r>
      <w:r w:rsidRPr="00CE70AA">
        <w:t>then</w:t>
      </w:r>
      <w:r w:rsidRPr="00CE70AA">
        <w:rPr>
          <w:i/>
        </w:rPr>
        <w:t xml:space="preserve"> Animals </w:t>
      </w:r>
      <w:r w:rsidRPr="00CE70AA">
        <w:t>and finally</w:t>
      </w:r>
      <w:r w:rsidRPr="00CE70AA">
        <w:rPr>
          <w:i/>
        </w:rPr>
        <w:t xml:space="preserve"> Plants</w:t>
      </w:r>
      <w:r w:rsidRPr="00CE70AA">
        <w:t xml:space="preserve">), Figure </w:t>
      </w:r>
      <w:r w:rsidR="000D0C3B">
        <w:t>4</w:t>
      </w:r>
      <w:r w:rsidRPr="00CE70AA">
        <w:t xml:space="preserve"> shows the distribution of learning gains in these three units. The difference</w:t>
      </w:r>
      <w:r w:rsidR="00264B6B">
        <w:t>s</w:t>
      </w:r>
      <w:r w:rsidRPr="00CE70AA">
        <w:t xml:space="preserve"> </w:t>
      </w:r>
      <w:r w:rsidR="00264B6B">
        <w:t>among</w:t>
      </w:r>
      <w:r w:rsidR="00264B6B" w:rsidRPr="00CE70AA">
        <w:t xml:space="preserve"> </w:t>
      </w:r>
      <w:r w:rsidRPr="00CE70AA">
        <w:t xml:space="preserve">learning gains for three units </w:t>
      </w:r>
      <w:r w:rsidR="00264B6B">
        <w:t>are</w:t>
      </w:r>
      <w:r w:rsidR="00264B6B" w:rsidRPr="00CE70AA">
        <w:t xml:space="preserve"> </w:t>
      </w:r>
      <w:r w:rsidRPr="00CE70AA">
        <w:t xml:space="preserve">statistically significant (see Table </w:t>
      </w:r>
      <w:r>
        <w:t>S</w:t>
      </w:r>
      <w:r w:rsidR="00D66ACC">
        <w:t>2</w:t>
      </w:r>
      <w:r w:rsidRPr="00CE70AA">
        <w:t xml:space="preserve"> in supplementa</w:t>
      </w:r>
      <w:r>
        <w:t>ry</w:t>
      </w:r>
      <w:r w:rsidRPr="00CE70AA">
        <w:t xml:space="preserve"> materials).</w:t>
      </w:r>
      <w:bookmarkStart w:id="40" w:name="_Toc67662796"/>
    </w:p>
    <w:p w14:paraId="4CF8A8BA" w14:textId="6E884D90" w:rsidR="00A30995" w:rsidRPr="001A6330" w:rsidRDefault="00A30995" w:rsidP="001A6330">
      <w:pPr>
        <w:pStyle w:val="standard"/>
        <w:spacing w:line="240" w:lineRule="auto"/>
        <w:ind w:firstLine="0"/>
        <w:rPr>
          <w:b/>
        </w:rPr>
      </w:pPr>
      <w:r w:rsidRPr="001A6330">
        <w:rPr>
          <w:b/>
        </w:rPr>
        <w:t>Figure 4</w:t>
      </w:r>
    </w:p>
    <w:p w14:paraId="21041A19" w14:textId="77777777" w:rsidR="005478E6" w:rsidRPr="007A02C6" w:rsidRDefault="005478E6" w:rsidP="005478E6">
      <w:pPr>
        <w:pStyle w:val="standard"/>
        <w:spacing w:line="240" w:lineRule="auto"/>
        <w:ind w:firstLine="0"/>
        <w:rPr>
          <w:rFonts w:cs="Arial"/>
          <w:i/>
          <w:iCs/>
          <w:szCs w:val="24"/>
        </w:rPr>
      </w:pPr>
      <w:r w:rsidRPr="00CE70AA">
        <w:rPr>
          <w:rFonts w:cs="Arial"/>
          <w:i/>
          <w:iCs/>
          <w:szCs w:val="24"/>
        </w:rPr>
        <w:t xml:space="preserve">Distribution of </w:t>
      </w:r>
      <w:r>
        <w:rPr>
          <w:rFonts w:cs="Arial"/>
          <w:i/>
          <w:iCs/>
          <w:szCs w:val="24"/>
        </w:rPr>
        <w:t>L</w:t>
      </w:r>
      <w:r w:rsidRPr="00CE70AA">
        <w:rPr>
          <w:rFonts w:cs="Arial"/>
          <w:i/>
          <w:iCs/>
          <w:szCs w:val="24"/>
        </w:rPr>
        <w:t xml:space="preserve">earning </w:t>
      </w:r>
      <w:r>
        <w:rPr>
          <w:rFonts w:cs="Arial"/>
          <w:i/>
          <w:iCs/>
          <w:szCs w:val="24"/>
        </w:rPr>
        <w:t>G</w:t>
      </w:r>
      <w:r w:rsidRPr="00CE70AA">
        <w:rPr>
          <w:rFonts w:cs="Arial"/>
          <w:i/>
          <w:iCs/>
          <w:szCs w:val="24"/>
        </w:rPr>
        <w:t xml:space="preserve">ains in </w:t>
      </w:r>
      <w:r>
        <w:rPr>
          <w:rFonts w:cs="Arial"/>
          <w:i/>
          <w:iCs/>
          <w:szCs w:val="24"/>
        </w:rPr>
        <w:t>D</w:t>
      </w:r>
      <w:r w:rsidRPr="00CE70AA">
        <w:rPr>
          <w:rFonts w:cs="Arial"/>
          <w:i/>
          <w:iCs/>
          <w:szCs w:val="24"/>
        </w:rPr>
        <w:t xml:space="preserve">ifferent </w:t>
      </w:r>
      <w:r>
        <w:rPr>
          <w:rFonts w:cs="Arial"/>
          <w:i/>
          <w:iCs/>
          <w:szCs w:val="24"/>
        </w:rPr>
        <w:t>U</w:t>
      </w:r>
      <w:r w:rsidRPr="00CE70AA">
        <w:rPr>
          <w:rFonts w:cs="Arial"/>
          <w:i/>
          <w:iCs/>
          <w:szCs w:val="24"/>
        </w:rPr>
        <w:t>nits</w:t>
      </w:r>
    </w:p>
    <w:p w14:paraId="3569E250" w14:textId="77777777" w:rsidR="005478E6" w:rsidRDefault="005478E6" w:rsidP="00F211FE">
      <w:r w:rsidRPr="00F211FE">
        <w:rPr>
          <w:noProof/>
        </w:rPr>
        <w:lastRenderedPageBreak/>
        <w:drawing>
          <wp:inline distT="0" distB="0" distL="0" distR="0" wp14:anchorId="59272B6E" wp14:editId="4EBA044F">
            <wp:extent cx="5579076" cy="4182518"/>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5975" cy="4217677"/>
                    </a:xfrm>
                    <a:prstGeom prst="rect">
                      <a:avLst/>
                    </a:prstGeom>
                  </pic:spPr>
                </pic:pic>
              </a:graphicData>
            </a:graphic>
          </wp:inline>
        </w:drawing>
      </w:r>
    </w:p>
    <w:p w14:paraId="3A1BD780" w14:textId="77777777" w:rsidR="005478E6" w:rsidRDefault="005478E6" w:rsidP="005478E6"/>
    <w:p w14:paraId="69874E65" w14:textId="5750C4F1" w:rsidR="006D0A9D" w:rsidRDefault="00BD41D4" w:rsidP="00CF0589">
      <w:pPr>
        <w:pStyle w:val="Heading2"/>
      </w:pPr>
      <w:bookmarkStart w:id="41" w:name="_Toc71207819"/>
      <w:r>
        <w:t>Findings about Factors Influencing Variation in Student Learning Gains</w:t>
      </w:r>
      <w:bookmarkEnd w:id="40"/>
      <w:bookmarkEnd w:id="41"/>
    </w:p>
    <w:p w14:paraId="433D85F5" w14:textId="33C6123E" w:rsidR="00EC2C7D" w:rsidRPr="00CE70AA" w:rsidRDefault="00EC2C7D" w:rsidP="00CF0589">
      <w:pPr>
        <w:pStyle w:val="standard"/>
      </w:pPr>
      <w:r w:rsidRPr="003B5E86">
        <w:rPr>
          <w:b/>
          <w:bCs/>
        </w:rPr>
        <w:t xml:space="preserve">Finding 2a, b: The differences in learning gains across teachers’ classrooms (controlling for student </w:t>
      </w:r>
      <w:proofErr w:type="spellStart"/>
      <w:r w:rsidRPr="003B5E86">
        <w:rPr>
          <w:b/>
          <w:bCs/>
        </w:rPr>
        <w:t>pretests</w:t>
      </w:r>
      <w:proofErr w:type="spellEnd"/>
      <w:r w:rsidRPr="003B5E86">
        <w:rPr>
          <w:b/>
          <w:bCs/>
        </w:rPr>
        <w:t xml:space="preserve"> and school demographic variables) were both statistically and educationally significant.</w:t>
      </w:r>
      <w:r w:rsidRPr="00CE70AA">
        <w:t xml:space="preserve"> As discussed earlier, the intra-class correlation (ICC) in the unconditional model illustrated that more than 30% of the variance in students’ learning gains was between classrooms. In Model 2, we added predictors </w:t>
      </w:r>
      <w:r w:rsidR="009E2CFE">
        <w:t xml:space="preserve">that were statistically significant </w:t>
      </w:r>
      <w:r w:rsidRPr="00CE70AA">
        <w:t>(including school-level variables and students’ pretests) to explain the variance in students’ learning gains. The residual variance at the teacher–year (level 2) only decreased a little, from 0.473 (unconditional model) to 0.419 (Model 2)</w:t>
      </w:r>
      <w:r w:rsidR="00B21F32">
        <w:t xml:space="preserve">, a change of </w:t>
      </w:r>
      <w:r w:rsidR="003F39AE">
        <w:t>about 11%</w:t>
      </w:r>
      <w:r w:rsidRPr="00CE70AA">
        <w:t>. This showed that the differences in learning gains in different teachers’ classrooms were real and substantial, even after controlling for the effects of students’ prior knowledge and school</w:t>
      </w:r>
      <w:r>
        <w:t xml:space="preserve"> </w:t>
      </w:r>
      <w:r w:rsidR="000E6C72">
        <w:rPr>
          <w:bCs/>
        </w:rPr>
        <w:t>demographic</w:t>
      </w:r>
      <w:r w:rsidRPr="00CE70AA">
        <w:rPr>
          <w:bCs/>
        </w:rPr>
        <w:t xml:space="preserve"> </w:t>
      </w:r>
      <w:r w:rsidRPr="00CE70AA">
        <w:t>factors.</w:t>
      </w:r>
    </w:p>
    <w:p w14:paraId="0244C3B4" w14:textId="65AE6685" w:rsidR="00EC2C7D" w:rsidRPr="00CE70AA" w:rsidRDefault="00C07710" w:rsidP="00CF0589">
      <w:pPr>
        <w:pStyle w:val="standard"/>
      </w:pPr>
      <w:r>
        <w:rPr>
          <w:i/>
          <w:iCs/>
        </w:rPr>
        <w:lastRenderedPageBreak/>
        <w:t xml:space="preserve">Value-added measures of teacher effectiveness. </w:t>
      </w:r>
      <w:r w:rsidR="00EC2C7D" w:rsidRPr="00CE70AA">
        <w:t>We used Model 2 (Table 4) as our value-added model to estimate teacher effectiveness, also known as value-added measures (VAM</w:t>
      </w:r>
      <w:r w:rsidR="000D0C3B">
        <w:t>s</w:t>
      </w:r>
      <w:r w:rsidR="00EC2C7D" w:rsidRPr="00CE70AA">
        <w:t xml:space="preserve">). </w:t>
      </w:r>
      <w:r w:rsidR="00281AF6">
        <w:t xml:space="preserve"> </w:t>
      </w:r>
      <w:r w:rsidR="00EC2C7D" w:rsidRPr="00CE70AA">
        <w:t xml:space="preserve">Using Model 2 (see Table 2, results reported in Table 4), the expected students’ gain score was calculated based on the students’ pretest, their school’s percent of free and reduced lunch, as well as percent of marginalized students of color. The average difference between the expected gain scores and the actual gain scores was then regarded as a teacher’s value added or teaching effectiveness. In other words, if a teacher had a positive value here, it means that </w:t>
      </w:r>
      <w:r w:rsidR="00C876FB">
        <w:t>their</w:t>
      </w:r>
      <w:r w:rsidR="00EC2C7D" w:rsidRPr="00CE70AA">
        <w:t xml:space="preserve"> students performed better than expected on the posttests. Figure </w:t>
      </w:r>
      <w:r w:rsidR="00EC2C7D">
        <w:t>S</w:t>
      </w:r>
      <w:r w:rsidR="00352384">
        <w:t>1</w:t>
      </w:r>
      <w:r w:rsidR="00EC2C7D" w:rsidRPr="00CE70AA">
        <w:t xml:space="preserve"> in </w:t>
      </w:r>
      <w:r w:rsidR="00EC2C7D">
        <w:t xml:space="preserve">supplementary materials </w:t>
      </w:r>
      <w:r w:rsidR="00EC2C7D" w:rsidRPr="00CE70AA">
        <w:t xml:space="preserve">presents the VAMs and 95% confidence interval for 133 teachers’ 245 classrooms. These are our best estimates of overall effectiveness for individual teachers. The VAMs show that variation in teachers’ effectiveness is substantial, and not attributable to student pretest or school demographic variables. </w:t>
      </w:r>
    </w:p>
    <w:p w14:paraId="7C7EC8EB" w14:textId="6540311D" w:rsidR="00253975" w:rsidRPr="00CE70AA" w:rsidRDefault="00C656D6" w:rsidP="00CF0589">
      <w:pPr>
        <w:pStyle w:val="standard"/>
      </w:pPr>
      <w:r>
        <w:rPr>
          <w:i/>
          <w:iCs/>
        </w:rPr>
        <w:t xml:space="preserve">Limitations of </w:t>
      </w:r>
      <w:r w:rsidR="00216D14">
        <w:rPr>
          <w:i/>
          <w:iCs/>
        </w:rPr>
        <w:t xml:space="preserve">VAMs. </w:t>
      </w:r>
      <w:r w:rsidR="00253975" w:rsidRPr="00CE70AA">
        <w:t>Rooted in education production literature (</w:t>
      </w:r>
      <w:r w:rsidR="00D7084D">
        <w:t xml:space="preserve">e.g., </w:t>
      </w:r>
      <w:r w:rsidR="00253975" w:rsidRPr="00CE70AA">
        <w:t>Ben-Porath, 1967; Hanushek, 1979), VAMs are intended to capture teachers’ individual contributions to students’ achievement. VAMs are essentially the “deflections” between students’ expected test scores and their actual ones (Murphy, 2012). Proponents of value-added models cite research that shows teachers’ considerable and long-lasting influences on student achievement (</w:t>
      </w:r>
      <w:r w:rsidR="00D56E5D">
        <w:t xml:space="preserve">e.g., </w:t>
      </w:r>
      <w:r w:rsidR="00253975" w:rsidRPr="00CE70AA">
        <w:t xml:space="preserve">Chetty et al., 2011; Hill et al., 2011; Rivkin et al., 2005). They argue that there is important variation in teachers’ effectiveness (Aaronson et al., 2007) that can be better identified by VAMs (Hanushek &amp; Rivkin, 2010). </w:t>
      </w:r>
    </w:p>
    <w:p w14:paraId="23148943" w14:textId="719FC563" w:rsidR="00EC2C7D" w:rsidRPr="00CE70AA" w:rsidRDefault="00460673" w:rsidP="007132B0">
      <w:pPr>
        <w:pStyle w:val="standard"/>
      </w:pPr>
      <w:r>
        <w:t>S</w:t>
      </w:r>
      <w:r w:rsidR="00EC2C7D" w:rsidRPr="00CE70AA">
        <w:t>keptics have raised important concerns about the validity and reliability of value-added measures as a basis to inform teacher evaluation, including test unreliability, missing data, and model specifications (</w:t>
      </w:r>
      <w:r w:rsidR="00C64E85">
        <w:t xml:space="preserve">e.g., </w:t>
      </w:r>
      <w:r w:rsidR="00EC2C7D" w:rsidRPr="00CE70AA">
        <w:t xml:space="preserve">Guarino et al., 2014; Harris, 2009; </w:t>
      </w:r>
      <w:proofErr w:type="spellStart"/>
      <w:r w:rsidR="00EC2C7D" w:rsidRPr="00CE70AA">
        <w:t>Raudenbush</w:t>
      </w:r>
      <w:proofErr w:type="spellEnd"/>
      <w:r w:rsidR="00EC2C7D" w:rsidRPr="00CE70AA">
        <w:t xml:space="preserve">, 2015). </w:t>
      </w:r>
      <w:r w:rsidR="00EC2C7D" w:rsidRPr="00CE70AA">
        <w:rPr>
          <w:i/>
        </w:rPr>
        <w:t xml:space="preserve">We agree with </w:t>
      </w:r>
      <w:r w:rsidR="00EC2C7D" w:rsidRPr="00CE70AA">
        <w:rPr>
          <w:i/>
        </w:rPr>
        <w:lastRenderedPageBreak/>
        <w:t>the skeptics</w:t>
      </w:r>
      <w:r w:rsidR="00EC2C7D" w:rsidRPr="00CE70AA">
        <w:t>. The data in our project showed important differences among teachers, but ranking individual teachers based on the value-added measures was not reliable</w:t>
      </w:r>
      <w:r w:rsidR="00B56A85">
        <w:t>:</w:t>
      </w:r>
      <w:r w:rsidR="00EC2C7D" w:rsidRPr="00CE70AA">
        <w:t xml:space="preserve"> only a small amount of potential bias is needed to alter the ranking</w:t>
      </w:r>
      <w:r w:rsidR="006B4674">
        <w:t>s</w:t>
      </w:r>
      <w:r w:rsidR="00EC2C7D" w:rsidRPr="00CE70AA">
        <w:t xml:space="preserve">. Additionally, analyses focusing on individual teachers, such as those reported by </w:t>
      </w:r>
      <w:proofErr w:type="spellStart"/>
      <w:r w:rsidR="00EC2C7D" w:rsidRPr="00CE70AA">
        <w:t>Covitt</w:t>
      </w:r>
      <w:proofErr w:type="spellEnd"/>
      <w:r w:rsidR="00EC2C7D" w:rsidRPr="00CE70AA">
        <w:t>, et al.</w:t>
      </w:r>
      <w:r w:rsidR="00EC2C7D" w:rsidRPr="00CE70AA">
        <w:t xml:space="preserve"> (2020) and summarized in the supplementa</w:t>
      </w:r>
      <w:r w:rsidR="00EC2C7D">
        <w:t>ry materials (Figure S2)</w:t>
      </w:r>
      <w:r w:rsidR="00EC2C7D" w:rsidRPr="00CE70AA">
        <w:t xml:space="preserve">, show that rankings across years for the same teachers </w:t>
      </w:r>
      <w:r w:rsidR="00B6527A">
        <w:t>often</w:t>
      </w:r>
      <w:r w:rsidR="00B6527A" w:rsidRPr="00CE70AA">
        <w:t xml:space="preserve"> </w:t>
      </w:r>
      <w:r w:rsidR="00EC2C7D" w:rsidRPr="00CE70AA">
        <w:t xml:space="preserve">change. </w:t>
      </w:r>
    </w:p>
    <w:p w14:paraId="65E2A402" w14:textId="4660D2EE" w:rsidR="00EC2C7D" w:rsidRPr="00CE70AA" w:rsidRDefault="00EC2C7D" w:rsidP="00311B54">
      <w:pPr>
        <w:pStyle w:val="standard"/>
      </w:pPr>
      <w:r w:rsidRPr="00CE70AA">
        <w:t>Thus, we conclude that the VAM analyses are useful as a research tool for investigating patterns of difference in student learning that are associated with patterns of difference in classroom discourse, particularly when we compare classrooms with substantial differences in learning gains.</w:t>
      </w:r>
      <w:r w:rsidR="00C07710">
        <w:t xml:space="preserve"> </w:t>
      </w:r>
      <w:r w:rsidR="00C07710" w:rsidRPr="00CE70AA">
        <w:t>Our qualitative analys</w:t>
      </w:r>
      <w:r w:rsidR="00C07710">
        <w:t>e</w:t>
      </w:r>
      <w:r w:rsidR="00C07710" w:rsidRPr="00CE70AA">
        <w:t>s (</w:t>
      </w:r>
      <w:proofErr w:type="spellStart"/>
      <w:r w:rsidR="00C07710" w:rsidRPr="00CE70AA">
        <w:t>Covitt</w:t>
      </w:r>
      <w:proofErr w:type="spellEnd"/>
      <w:r w:rsidR="00C07710" w:rsidRPr="00CE70AA">
        <w:t>, et al.,</w:t>
      </w:r>
      <w:r w:rsidR="00C07710" w:rsidRPr="00CE70AA">
        <w:t xml:space="preserve"> 2020; </w:t>
      </w:r>
      <w:r w:rsidR="00C07710" w:rsidRPr="00CE70AA">
        <w:t>Morrison Thomas, et al.,</w:t>
      </w:r>
      <w:r w:rsidR="00C07710" w:rsidRPr="00CE70AA">
        <w:t xml:space="preserve"> 2020) </w:t>
      </w:r>
      <w:r w:rsidR="00EE10B2">
        <w:t>examined</w:t>
      </w:r>
      <w:r w:rsidR="00C07710" w:rsidRPr="00CE70AA">
        <w:t xml:space="preserve"> how teachers with different VAMs differed in terms of classroom discourse and teacher</w:t>
      </w:r>
      <w:r w:rsidR="00C07710">
        <w:t xml:space="preserve"> commitments and perceptions</w:t>
      </w:r>
      <w:r w:rsidR="00C07710" w:rsidRPr="00CE70AA">
        <w:t>. The classrooms with higher VAMs were characterized by teaching that was both rigorous and responsive to students’ ideas and interests. The teachers in these classrooms successfully assessed and scaffolded their students’ three-dimensional engagement with phenomena. These analyses are summarized in the online supplemental materials.</w:t>
      </w:r>
      <w:r w:rsidRPr="00CE70AA">
        <w:t xml:space="preserve">  However, even with careful control over curricula and assessments, the value-added measures are not sufficiently precise or reliable to inform high-stakes </w:t>
      </w:r>
      <w:r w:rsidR="00264B6B">
        <w:t>comparisons among</w:t>
      </w:r>
      <w:r w:rsidRPr="00CE70AA">
        <w:t xml:space="preserve"> individual teachers.  </w:t>
      </w:r>
    </w:p>
    <w:p w14:paraId="42BADB4F" w14:textId="6D35835E" w:rsidR="00EC2C7D" w:rsidRPr="009D3B8E" w:rsidRDefault="00EC2C7D" w:rsidP="000C43AC">
      <w:pPr>
        <w:pStyle w:val="standard"/>
      </w:pPr>
      <w:r w:rsidRPr="00F66928">
        <w:rPr>
          <w:b/>
          <w:bCs/>
        </w:rPr>
        <w:t xml:space="preserve">Finding 2c: Students’ learning </w:t>
      </w:r>
      <w:r w:rsidR="00456F71" w:rsidRPr="00F66928">
        <w:rPr>
          <w:b/>
          <w:bCs/>
        </w:rPr>
        <w:t>g</w:t>
      </w:r>
      <w:r w:rsidR="001A1CC9" w:rsidRPr="00F66928">
        <w:rPr>
          <w:b/>
          <w:bCs/>
        </w:rPr>
        <w:t>ains</w:t>
      </w:r>
      <w:r w:rsidRPr="00F66928">
        <w:rPr>
          <w:b/>
          <w:bCs/>
        </w:rPr>
        <w:t xml:space="preserve"> </w:t>
      </w:r>
      <w:r w:rsidR="001A1CC9" w:rsidRPr="00F66928">
        <w:rPr>
          <w:b/>
          <w:bCs/>
        </w:rPr>
        <w:t>were</w:t>
      </w:r>
      <w:r w:rsidRPr="00F66928">
        <w:rPr>
          <w:b/>
          <w:bCs/>
        </w:rPr>
        <w:t xml:space="preserve"> negatively related to school-level demographic variables including percent free and reduced lunch and percent marginalized students of color.</w:t>
      </w:r>
      <w:r w:rsidRPr="00F66928" w:rsidDel="00855B1F">
        <w:rPr>
          <w:b/>
          <w:bCs/>
        </w:rPr>
        <w:t xml:space="preserve"> </w:t>
      </w:r>
      <w:r w:rsidRPr="00CE70AA">
        <w:t xml:space="preserve">Students in schools with higher percent of free and reduced lunch, or higher percent of marginalized students of color, showed smaller learning gains. These were reflected by the coefficient of </w:t>
      </w:r>
      <w:r w:rsidRPr="00CE70AA">
        <w:rPr>
          <w:szCs w:val="22"/>
        </w:rPr>
        <w:t>–</w:t>
      </w:r>
      <w:r w:rsidRPr="00CE70AA">
        <w:t>1.077 (</w:t>
      </w:r>
      <w:r w:rsidR="00812349" w:rsidRPr="00812349">
        <w:rPr>
          <w:i/>
          <w:iCs/>
        </w:rPr>
        <w:t>SE</w:t>
      </w:r>
      <w:r w:rsidR="00812349">
        <w:t xml:space="preserve"> = </w:t>
      </w:r>
      <w:r w:rsidR="008044D1">
        <w:t>0.293</w:t>
      </w:r>
      <w:r w:rsidR="00812349">
        <w:t xml:space="preserve">, </w:t>
      </w:r>
      <w:r w:rsidRPr="00812349">
        <w:rPr>
          <w:i/>
          <w:iCs/>
        </w:rPr>
        <w:t>p</w:t>
      </w:r>
      <w:r w:rsidRPr="00CE70AA">
        <w:t xml:space="preserve"> &lt; 0.001) for free and reduced lunch, and the coefficient of </w:t>
      </w:r>
      <w:r w:rsidRPr="00CE70AA">
        <w:rPr>
          <w:szCs w:val="22"/>
        </w:rPr>
        <w:t>–</w:t>
      </w:r>
      <w:r w:rsidRPr="00CE70AA">
        <w:t>0.544 (</w:t>
      </w:r>
      <w:r w:rsidR="000C43AC" w:rsidRPr="000C43AC">
        <w:rPr>
          <w:i/>
          <w:iCs/>
        </w:rPr>
        <w:t>SE</w:t>
      </w:r>
      <w:r w:rsidR="000C43AC">
        <w:t xml:space="preserve"> = 0.304, </w:t>
      </w:r>
      <w:r w:rsidRPr="00623F7F">
        <w:rPr>
          <w:i/>
          <w:iCs/>
        </w:rPr>
        <w:t>p</w:t>
      </w:r>
      <w:r w:rsidRPr="00CE70AA">
        <w:t xml:space="preserve"> = 0.074) for marginalized students of color, in Table 4. Note </w:t>
      </w:r>
      <w:r w:rsidRPr="00CE70AA">
        <w:lastRenderedPageBreak/>
        <w:t xml:space="preserve">that these two measures were highly correlated with each other (correlation is 0.498, </w:t>
      </w:r>
      <w:r w:rsidRPr="00623F7F">
        <w:rPr>
          <w:i/>
          <w:iCs/>
        </w:rPr>
        <w:t>p</w:t>
      </w:r>
      <w:r w:rsidRPr="00CE70AA">
        <w:t xml:space="preserve"> &lt; 0.001), and the collinearity led the two coefficients to show weaker statistical significance when both predictors were included in one model.</w:t>
      </w:r>
      <w:r>
        <w:t xml:space="preserve"> </w:t>
      </w:r>
      <w:r w:rsidR="00773B4A">
        <w:t xml:space="preserve">When we model separately </w:t>
      </w:r>
      <w:r w:rsidRPr="009D3B8E">
        <w:t xml:space="preserve">the percent of free and reduced lunch had a coefficient of </w:t>
      </w:r>
      <w:r w:rsidRPr="009D3B8E">
        <w:rPr>
          <w:szCs w:val="22"/>
        </w:rPr>
        <w:t>–</w:t>
      </w:r>
      <w:r w:rsidRPr="009D3B8E">
        <w:t>1.</w:t>
      </w:r>
      <w:r w:rsidR="00844BF9">
        <w:t>36</w:t>
      </w:r>
      <w:r w:rsidR="00133ED3">
        <w:t>1</w:t>
      </w:r>
      <w:r w:rsidRPr="009D3B8E">
        <w:t xml:space="preserve"> with a </w:t>
      </w:r>
      <w:r w:rsidRPr="00623F7F">
        <w:rPr>
          <w:i/>
          <w:iCs/>
        </w:rPr>
        <w:t>p</w:t>
      </w:r>
      <w:r w:rsidRPr="009D3B8E">
        <w:t xml:space="preserve"> value of 0.001</w:t>
      </w:r>
      <w:r w:rsidR="00B61C9B" w:rsidRPr="009F6B01">
        <w:t xml:space="preserve"> (</w:t>
      </w:r>
      <w:r w:rsidR="00B61C9B" w:rsidRPr="009F6B01">
        <w:rPr>
          <w:i/>
          <w:iCs/>
        </w:rPr>
        <w:t>SE</w:t>
      </w:r>
      <w:r w:rsidR="00B61C9B" w:rsidRPr="009F6B01">
        <w:t xml:space="preserve"> = </w:t>
      </w:r>
      <w:r w:rsidR="00592340" w:rsidRPr="009F6B01">
        <w:t>0.247</w:t>
      </w:r>
      <w:r w:rsidR="00B61C9B" w:rsidRPr="009F6B01">
        <w:t>)</w:t>
      </w:r>
      <w:r w:rsidRPr="009F6B01">
        <w:t xml:space="preserve">. </w:t>
      </w:r>
      <w:r w:rsidRPr="009D3B8E">
        <w:t xml:space="preserve">Without the percent of free and reduced lunch, the percent of marginalized students of color had a coefficient of </w:t>
      </w:r>
      <w:r w:rsidRPr="009D3B8E">
        <w:rPr>
          <w:szCs w:val="22"/>
        </w:rPr>
        <w:t>–</w:t>
      </w:r>
      <w:r w:rsidRPr="009D3B8E">
        <w:t xml:space="preserve">1.149 with a </w:t>
      </w:r>
      <w:r w:rsidRPr="00B61C9B">
        <w:rPr>
          <w:i/>
          <w:iCs/>
        </w:rPr>
        <w:t>p</w:t>
      </w:r>
      <w:r w:rsidR="00B61C9B">
        <w:t xml:space="preserve"> </w:t>
      </w:r>
      <w:r w:rsidRPr="009D3B8E">
        <w:t>value smaller than 0.001</w:t>
      </w:r>
      <w:r w:rsidR="00B61C9B">
        <w:t xml:space="preserve"> </w:t>
      </w:r>
      <w:r w:rsidR="00B61C9B" w:rsidRPr="009F6B01">
        <w:t>(</w:t>
      </w:r>
      <w:r w:rsidR="00B61C9B" w:rsidRPr="009F6B01">
        <w:rPr>
          <w:i/>
          <w:iCs/>
        </w:rPr>
        <w:t>SE</w:t>
      </w:r>
      <w:r w:rsidR="00B61C9B" w:rsidRPr="009F6B01">
        <w:t xml:space="preserve"> = </w:t>
      </w:r>
      <w:r w:rsidR="00137B8A" w:rsidRPr="009F6B01">
        <w:t>0.262</w:t>
      </w:r>
      <w:r w:rsidR="00B61C9B" w:rsidRPr="009F6B01">
        <w:t>)</w:t>
      </w:r>
      <w:r w:rsidRPr="009F6B01">
        <w:t>. To bette</w:t>
      </w:r>
      <w:r w:rsidRPr="009D3B8E">
        <w:t xml:space="preserve">r understand the effect size, we also checked that the standardized coefficients are </w:t>
      </w:r>
      <w:r w:rsidRPr="009D3B8E">
        <w:rPr>
          <w:szCs w:val="22"/>
        </w:rPr>
        <w:t>–</w:t>
      </w:r>
      <w:r w:rsidRPr="009D3B8E">
        <w:t xml:space="preserve">0.168 for free and reduced lunch, and </w:t>
      </w:r>
      <w:r w:rsidRPr="009D3B8E">
        <w:rPr>
          <w:szCs w:val="22"/>
        </w:rPr>
        <w:t>–</w:t>
      </w:r>
      <w:r w:rsidRPr="009D3B8E">
        <w:t xml:space="preserve">0.071 for marginalized students of color. </w:t>
      </w:r>
      <w:r w:rsidR="003A191D" w:rsidRPr="00313789">
        <w:t>Therefore, in our analyses of decomposition of variance (Finding 3 below) we combined these two variables into a single school demographic factor.</w:t>
      </w:r>
    </w:p>
    <w:p w14:paraId="157C45D6" w14:textId="0B88C653" w:rsidR="00EC2C7D" w:rsidRPr="00CE70AA" w:rsidRDefault="00EC2C7D" w:rsidP="00D52328">
      <w:pPr>
        <w:pStyle w:val="standard"/>
      </w:pPr>
      <w:r w:rsidRPr="00CE70AA">
        <w:t xml:space="preserve">Previous studies </w:t>
      </w:r>
      <w:r w:rsidR="002A6E31">
        <w:t>have shown</w:t>
      </w:r>
      <w:r w:rsidRPr="00CE70AA">
        <w:t xml:space="preserve"> that </w:t>
      </w:r>
      <w:r w:rsidR="00304951">
        <w:t xml:space="preserve">percent of free and reduced lunch and percent of marginalized students of color </w:t>
      </w:r>
      <w:r w:rsidRPr="00CE70AA">
        <w:t xml:space="preserve">can be a proxy measures for material, </w:t>
      </w:r>
      <w:r>
        <w:t xml:space="preserve">human, and </w:t>
      </w:r>
      <w:r w:rsidRPr="00CE70AA">
        <w:t>social resources such as students’ access to qualified and experienced teachers (Darling-Hammond, 2004; Rice, 2010) and the overall quality of conditions in which teachers work (Johnson</w:t>
      </w:r>
      <w:r w:rsidR="00DD61E2">
        <w:t xml:space="preserve"> et al.,</w:t>
      </w:r>
      <w:r w:rsidR="00DD61E2">
        <w:t xml:space="preserve"> </w:t>
      </w:r>
      <w:r w:rsidRPr="00CE70AA">
        <w:t xml:space="preserve">2012). </w:t>
      </w:r>
      <w:r w:rsidR="002172A9">
        <w:t xml:space="preserve">For example, </w:t>
      </w:r>
      <w:proofErr w:type="spellStart"/>
      <w:r w:rsidR="00676B71">
        <w:t>EdBuild</w:t>
      </w:r>
      <w:proofErr w:type="spellEnd"/>
      <w:r w:rsidR="00676B71">
        <w:t xml:space="preserve"> (2019) reported that predominantly W</w:t>
      </w:r>
      <w:r w:rsidR="002172A9">
        <w:t xml:space="preserve">hite school districts </w:t>
      </w:r>
      <w:r w:rsidR="00676B71">
        <w:t xml:space="preserve">got $23 billion more in funding than </w:t>
      </w:r>
      <w:r w:rsidR="004E340E">
        <w:t>predominantly non-White districts in 2016</w:t>
      </w:r>
      <w:r w:rsidR="002F5279">
        <w:t xml:space="preserve">, even </w:t>
      </w:r>
      <w:r w:rsidR="003D6795">
        <w:t xml:space="preserve">for comparable numbers of </w:t>
      </w:r>
      <w:r w:rsidR="003E4691">
        <w:t>children served in the districts</w:t>
      </w:r>
      <w:r w:rsidR="004E340E">
        <w:t>.</w:t>
      </w:r>
      <w:r w:rsidR="00676B71">
        <w:t xml:space="preserve"> </w:t>
      </w:r>
      <w:r w:rsidR="004E340E">
        <w:t>Additionally</w:t>
      </w:r>
      <w:r w:rsidR="00823B02">
        <w:t>,</w:t>
      </w:r>
      <w:r w:rsidRPr="00CE70AA">
        <w:t xml:space="preserve"> our survey data showed that teachers from schools with higher percentage</w:t>
      </w:r>
      <w:r w:rsidR="00823B02">
        <w:t>s</w:t>
      </w:r>
      <w:r w:rsidRPr="00CE70AA">
        <w:t xml:space="preserve"> of free and reduced lunch had lower scores on items measuring science knowledge and pedagogical content knowledge. </w:t>
      </w:r>
    </w:p>
    <w:p w14:paraId="385C110B" w14:textId="70B6C2E8" w:rsidR="00EC2C7D" w:rsidRPr="00CE70AA" w:rsidRDefault="00EC2C7D" w:rsidP="00D52328">
      <w:pPr>
        <w:pStyle w:val="standard"/>
      </w:pPr>
      <w:r w:rsidRPr="00CE70AA">
        <w:t>An alternative explanation for the negative association between students’ learning and the</w:t>
      </w:r>
      <w:r w:rsidR="004271EC">
        <w:t xml:space="preserve"> </w:t>
      </w:r>
      <w:r w:rsidRPr="00CE70AA">
        <w:t xml:space="preserve">school-level variables </w:t>
      </w:r>
      <w:r w:rsidR="004271EC" w:rsidRPr="00713D81">
        <w:t>(</w:t>
      </w:r>
      <w:r w:rsidR="00713D81" w:rsidRPr="00713D81">
        <w:t>percent of free and reduced lunch, and percent of marginalized students of color</w:t>
      </w:r>
      <w:r w:rsidR="004271EC" w:rsidRPr="00713D81">
        <w:t>)</w:t>
      </w:r>
      <w:r w:rsidR="004271EC" w:rsidRPr="00CE70AA">
        <w:t xml:space="preserve"> </w:t>
      </w:r>
      <w:r w:rsidRPr="00CE70AA">
        <w:t xml:space="preserve">is that schools and teachers continue to </w:t>
      </w:r>
      <w:proofErr w:type="gramStart"/>
      <w:r w:rsidRPr="00CE70AA">
        <w:t xml:space="preserve">implicitly but systematically discriminate against poor students and </w:t>
      </w:r>
      <w:r w:rsidR="00253462">
        <w:t xml:space="preserve">marginalized </w:t>
      </w:r>
      <w:r w:rsidRPr="00CE70AA">
        <w:t>students of color</w:t>
      </w:r>
      <w:proofErr w:type="gramEnd"/>
      <w:r w:rsidRPr="00CE70AA">
        <w:t xml:space="preserve">. </w:t>
      </w:r>
      <w:r w:rsidR="003A191D">
        <w:t>L</w:t>
      </w:r>
      <w:r w:rsidRPr="00CE70AA">
        <w:t>ike other reform curricula,</w:t>
      </w:r>
      <w:r w:rsidR="00B0586A">
        <w:t xml:space="preserve"> </w:t>
      </w:r>
      <w:r w:rsidRPr="00CE70AA">
        <w:rPr>
          <w:i/>
        </w:rPr>
        <w:t xml:space="preserve">Carbon </w:t>
      </w:r>
      <w:proofErr w:type="spellStart"/>
      <w:r w:rsidRPr="00CE70AA">
        <w:rPr>
          <w:i/>
        </w:rPr>
        <w:t>TIME</w:t>
      </w:r>
      <w:r w:rsidR="00B0586A" w:rsidRPr="00A52AF2">
        <w:rPr>
          <w:i/>
        </w:rPr>
        <w:t xml:space="preserve"> </w:t>
      </w:r>
      <w:r w:rsidRPr="00CE70AA">
        <w:t>re</w:t>
      </w:r>
      <w:proofErr w:type="spellEnd"/>
      <w:r w:rsidRPr="00CE70AA">
        <w:t xml:space="preserve">lies on teachers to scaffold students’ sense-making by eliciting and responding to </w:t>
      </w:r>
      <w:r w:rsidRPr="00CE70AA">
        <w:lastRenderedPageBreak/>
        <w:t>students’ expressions of their own ideas, using their lifeworld social languages (Gee, 2005)</w:t>
      </w:r>
      <w:r w:rsidR="00713D81">
        <w:t>.</w:t>
      </w:r>
      <w:r w:rsidRPr="00CE70AA">
        <w:t xml:space="preserve"> An abundance of research shows how middle-class White teachers working with poor students and students of color struggle to respond is ways that fully recognize their students’ lifeworld experiences and funds of knowledge (Heath, 1983; Ladson-Billings, 2009; Parsons &amp; </w:t>
      </w:r>
      <w:proofErr w:type="spellStart"/>
      <w:r w:rsidRPr="00CE70AA">
        <w:t>Carlone</w:t>
      </w:r>
      <w:proofErr w:type="spellEnd"/>
      <w:r w:rsidRPr="00CE70AA">
        <w:t xml:space="preserve">, 2013; Schwarz et al., 2020). Our quantitative data </w:t>
      </w:r>
      <w:r w:rsidR="003A191D">
        <w:t>do</w:t>
      </w:r>
      <w:r w:rsidR="003A191D" w:rsidRPr="00CE70AA">
        <w:t xml:space="preserve"> </w:t>
      </w:r>
      <w:r w:rsidRPr="00CE70AA">
        <w:t xml:space="preserve">not allow us to distinguish between these two explanations. </w:t>
      </w:r>
    </w:p>
    <w:p w14:paraId="3F069A54" w14:textId="5422BB34" w:rsidR="00EC2C7D" w:rsidRPr="00CE70AA" w:rsidRDefault="00EC2C7D" w:rsidP="00D52328">
      <w:pPr>
        <w:pStyle w:val="standard"/>
      </w:pPr>
      <w:r w:rsidRPr="00F66928">
        <w:rPr>
          <w:b/>
          <w:bCs/>
        </w:rPr>
        <w:t xml:space="preserve">Finding 3: Teachers were more important than students’ prior knowledge and school </w:t>
      </w:r>
      <w:r w:rsidR="003A191D">
        <w:rPr>
          <w:b/>
          <w:bCs/>
        </w:rPr>
        <w:t xml:space="preserve">demographic </w:t>
      </w:r>
      <w:r w:rsidRPr="00F66928">
        <w:rPr>
          <w:b/>
          <w:bCs/>
        </w:rPr>
        <w:t xml:space="preserve">factors in explaining variation in students’ learning gains. </w:t>
      </w:r>
      <w:r w:rsidRPr="00CE70AA">
        <w:t xml:space="preserve">We showed that students’ learning gains were significantly associated with (a) students’ prior knowledge, (b) </w:t>
      </w:r>
      <w:r w:rsidR="00BF4B45">
        <w:t>the teachers and classrooms to which they were assigned</w:t>
      </w:r>
      <w:r w:rsidRPr="00CE70AA">
        <w:t xml:space="preserve">, and (c) school factors. </w:t>
      </w:r>
      <w:r w:rsidR="003A191D">
        <w:t>Through</w:t>
      </w:r>
      <w:r w:rsidR="003A191D" w:rsidRPr="00CE70AA">
        <w:t xml:space="preserve"> </w:t>
      </w:r>
      <w:r w:rsidRPr="00CE70AA">
        <w:t>a series of analysis (see</w:t>
      </w:r>
      <w:r w:rsidR="00253462">
        <w:t xml:space="preserve"> online</w:t>
      </w:r>
      <w:r w:rsidRPr="00CE70AA">
        <w:t xml:space="preserve"> supplementa</w:t>
      </w:r>
      <w:r>
        <w:t>ry</w:t>
      </w:r>
      <w:r w:rsidRPr="00CE70AA">
        <w:t xml:space="preserve"> materials for more details), we decomposed the variance in students’ gain scores into these three important factors </w:t>
      </w:r>
      <w:proofErr w:type="gramStart"/>
      <w:r w:rsidRPr="00CE70AA">
        <w:t>in order to</w:t>
      </w:r>
      <w:proofErr w:type="gramEnd"/>
      <w:r w:rsidRPr="00CE70AA">
        <w:t xml:space="preserve"> estimate how important each factor was in explaining differences in student learning gains. Because variables </w:t>
      </w:r>
      <w:r w:rsidR="003A191D">
        <w:t>are</w:t>
      </w:r>
      <w:r w:rsidRPr="00CE70AA">
        <w:t xml:space="preserve"> collinear with each other to some extent, we cannot </w:t>
      </w:r>
      <w:r w:rsidR="004C5AF7">
        <w:t xml:space="preserve">clearly identify the effects </w:t>
      </w:r>
      <w:r w:rsidRPr="00CE70AA">
        <w:t>of each factor</w:t>
      </w:r>
      <w:r w:rsidR="004C5AF7">
        <w:t xml:space="preserve"> separately</w:t>
      </w:r>
      <w:r w:rsidRPr="00CE70AA">
        <w:t xml:space="preserve">. Instead, we report a range of variance in the gain score that can be accounted for by each factor. </w:t>
      </w:r>
    </w:p>
    <w:p w14:paraId="7B5B5F5B" w14:textId="4307689A" w:rsidR="00EC2C7D" w:rsidRDefault="00EC2C7D" w:rsidP="00D52328">
      <w:pPr>
        <w:pStyle w:val="standard"/>
      </w:pPr>
      <w:r w:rsidRPr="00CE70AA">
        <w:t xml:space="preserve">Figure </w:t>
      </w:r>
      <w:r w:rsidR="001144A4">
        <w:t>5</w:t>
      </w:r>
      <w:r w:rsidRPr="00CE70AA">
        <w:t xml:space="preserve"> presents the findings, showing a range of percent of variance for each factor. For example, on the very left, the blue bar shows that </w:t>
      </w:r>
      <w:r w:rsidR="00124646">
        <w:t>differences among</w:t>
      </w:r>
      <w:r w:rsidRPr="00CE70AA">
        <w:t xml:space="preserve"> teachers accounted for at least 27% variance of students’ learning, and the grey bar shows that </w:t>
      </w:r>
      <w:r w:rsidR="00124646">
        <w:t xml:space="preserve">differences among </w:t>
      </w:r>
      <w:r w:rsidRPr="00CE70AA">
        <w:t xml:space="preserve">teachers accounted for at most 31% variance of students’ learning. Similarly, the two bars in the middle show that students’ prior knowledge accounted for 9.6% to 9.7% of students’ learning. On the right, school demographic factors accounted for less than 4% of the total variance. While school </w:t>
      </w:r>
      <w:r w:rsidRPr="00CE70AA">
        <w:lastRenderedPageBreak/>
        <w:t xml:space="preserve">factors were statistically significant, they did not make a large contribution to student learning compared with teachers and students’ prior knowledge. </w:t>
      </w:r>
    </w:p>
    <w:p w14:paraId="0E44AB39" w14:textId="6DDFEEC4" w:rsidR="00E13BEE" w:rsidRPr="00A52AF2" w:rsidRDefault="00E13BEE" w:rsidP="00A52AF2">
      <w:pPr>
        <w:pStyle w:val="standard"/>
        <w:spacing w:line="240" w:lineRule="auto"/>
        <w:ind w:firstLine="0"/>
        <w:rPr>
          <w:b/>
        </w:rPr>
      </w:pPr>
      <w:r w:rsidRPr="00A52AF2">
        <w:rPr>
          <w:b/>
        </w:rPr>
        <w:t>Figure 5</w:t>
      </w:r>
    </w:p>
    <w:p w14:paraId="78ED8180" w14:textId="77777777" w:rsidR="00743EB3" w:rsidRPr="003F5F7E" w:rsidRDefault="00743EB3" w:rsidP="00743EB3">
      <w:pPr>
        <w:pStyle w:val="standard"/>
        <w:spacing w:line="240" w:lineRule="auto"/>
        <w:ind w:firstLine="0"/>
        <w:rPr>
          <w:rFonts w:cs="Arial"/>
          <w:i/>
          <w:szCs w:val="24"/>
        </w:rPr>
      </w:pPr>
      <w:bookmarkStart w:id="42" w:name="_Toc67662797"/>
      <w:bookmarkStart w:id="43" w:name="_Toc71207820"/>
      <w:r w:rsidRPr="00CE70AA">
        <w:rPr>
          <w:rFonts w:cs="Arial"/>
          <w:i/>
          <w:szCs w:val="24"/>
        </w:rPr>
        <w:t xml:space="preserve">Importance of </w:t>
      </w:r>
      <w:r>
        <w:rPr>
          <w:rFonts w:cs="Arial"/>
          <w:i/>
          <w:szCs w:val="24"/>
        </w:rPr>
        <w:t>D</w:t>
      </w:r>
      <w:r w:rsidRPr="00CE70AA">
        <w:rPr>
          <w:rFonts w:cs="Arial"/>
          <w:i/>
          <w:szCs w:val="24"/>
        </w:rPr>
        <w:t xml:space="preserve">ifferent </w:t>
      </w:r>
      <w:r>
        <w:rPr>
          <w:rFonts w:cs="Arial"/>
          <w:i/>
          <w:szCs w:val="24"/>
        </w:rPr>
        <w:t>F</w:t>
      </w:r>
      <w:r w:rsidRPr="00CE70AA">
        <w:rPr>
          <w:rFonts w:cs="Arial"/>
          <w:i/>
          <w:szCs w:val="24"/>
        </w:rPr>
        <w:t xml:space="preserve">actors Affecting Students’ Learning Gains in </w:t>
      </w:r>
      <w:r w:rsidR="00F23636">
        <w:rPr>
          <w:rFonts w:cs="Arial"/>
          <w:i/>
          <w:szCs w:val="24"/>
        </w:rPr>
        <w:t>Carbon TIME</w:t>
      </w:r>
    </w:p>
    <w:p w14:paraId="4A8E0230" w14:textId="77777777" w:rsidR="00743EB3" w:rsidRPr="00F23636" w:rsidRDefault="00743EB3" w:rsidP="00F23636">
      <w:pPr>
        <w:pStyle w:val="standard"/>
        <w:ind w:firstLine="0"/>
        <w:contextualSpacing/>
        <w:mirrorIndents/>
        <w:rPr>
          <w:rFonts w:cs="Arial"/>
          <w:szCs w:val="24"/>
        </w:rPr>
      </w:pPr>
      <w:r w:rsidRPr="00CE70AA">
        <w:rPr>
          <w:rFonts w:cs="Arial"/>
          <w:noProof/>
        </w:rPr>
        <w:drawing>
          <wp:inline distT="0" distB="0" distL="0" distR="0" wp14:anchorId="44F6BA7D" wp14:editId="485D1916">
            <wp:extent cx="5930537" cy="4016829"/>
            <wp:effectExtent l="0" t="0" r="13335" b="9525"/>
            <wp:docPr id="6" name="Chart 6">
              <a:extLst xmlns:a="http://schemas.openxmlformats.org/drawingml/2006/main">
                <a:ext uri="{FF2B5EF4-FFF2-40B4-BE49-F238E27FC236}">
                  <a16:creationId xmlns:a16="http://schemas.microsoft.com/office/drawing/2014/main" id="{A1D34D7C-B0A5-4755-AC5B-642BEEA42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EA61AA" w14:textId="09A9FFFF" w:rsidR="005A7763" w:rsidRDefault="005A7763" w:rsidP="00D52328">
      <w:pPr>
        <w:pStyle w:val="Heading2"/>
      </w:pPr>
      <w:r>
        <w:t xml:space="preserve">Findings </w:t>
      </w:r>
      <w:r w:rsidR="008C562A">
        <w:t>about Changes in Student Learning over Time</w:t>
      </w:r>
      <w:bookmarkEnd w:id="42"/>
      <w:bookmarkEnd w:id="43"/>
    </w:p>
    <w:p w14:paraId="2150F175" w14:textId="15A80370" w:rsidR="00401443" w:rsidRPr="001D6B1E" w:rsidRDefault="00EC2C7D" w:rsidP="00D52328">
      <w:pPr>
        <w:pStyle w:val="standard"/>
        <w:rPr>
          <w:b/>
          <w:bCs/>
        </w:rPr>
      </w:pPr>
      <w:r w:rsidRPr="001D6B1E">
        <w:rPr>
          <w:b/>
          <w:bCs/>
        </w:rPr>
        <w:t xml:space="preserve">Finding 4: Student learning increased (a) as </w:t>
      </w:r>
      <w:r w:rsidRPr="001D6B1E">
        <w:rPr>
          <w:b/>
          <w:bCs/>
          <w:i/>
        </w:rPr>
        <w:t>Carbon TIME</w:t>
      </w:r>
      <w:r w:rsidR="00B0586A">
        <w:rPr>
          <w:b/>
          <w:bCs/>
        </w:rPr>
        <w:t xml:space="preserve"> </w:t>
      </w:r>
      <w:r w:rsidRPr="001D6B1E">
        <w:rPr>
          <w:b/>
          <w:bCs/>
        </w:rPr>
        <w:t xml:space="preserve">units and professional development improved over time, and (b) as teachers gained experience and learned from professional development. </w:t>
      </w:r>
    </w:p>
    <w:p w14:paraId="43466D5A" w14:textId="0BB670CB" w:rsidR="00D12A4B" w:rsidRDefault="006C151F" w:rsidP="00D12A4B">
      <w:pPr>
        <w:pStyle w:val="standard"/>
      </w:pPr>
      <w:r>
        <w:rPr>
          <w:i/>
        </w:rPr>
        <w:t xml:space="preserve">Changes in student learning across school years. </w:t>
      </w:r>
      <w:r w:rsidR="00777DA7">
        <w:t xml:space="preserve">Figure 6 </w:t>
      </w:r>
      <w:r w:rsidR="005C6937">
        <w:t>shows how student achievement and student learning gains changed across the four school years of the</w:t>
      </w:r>
      <w:r w:rsidR="00B0586A">
        <w:t xml:space="preserve"> </w:t>
      </w:r>
      <w:r w:rsidR="005C6937">
        <w:rPr>
          <w:i/>
        </w:rPr>
        <w:t>Carbon TIME</w:t>
      </w:r>
      <w:r w:rsidR="005C6937">
        <w:t xml:space="preserve"> </w:t>
      </w:r>
      <w:r w:rsidR="005C6937">
        <w:t xml:space="preserve">project. </w:t>
      </w:r>
      <w:r w:rsidR="001C584D">
        <w:t xml:space="preserve"> </w:t>
      </w:r>
      <w:r w:rsidR="00EC2C7D" w:rsidRPr="00CE70AA">
        <w:t xml:space="preserve">Figure </w:t>
      </w:r>
      <w:r w:rsidR="001144A4">
        <w:t>6</w:t>
      </w:r>
      <w:r w:rsidR="005C6937">
        <w:t>A</w:t>
      </w:r>
      <w:r w:rsidR="00EC2C7D" w:rsidRPr="00CE70AA">
        <w:t xml:space="preserve"> shows posttest scores: how the mean and 95% confidence interval of class average unit post changed from 2015</w:t>
      </w:r>
      <w:r w:rsidR="00EC2C7D" w:rsidRPr="00CE70AA">
        <w:rPr>
          <w:szCs w:val="22"/>
        </w:rPr>
        <w:t>–</w:t>
      </w:r>
      <w:r w:rsidR="003B56A2">
        <w:rPr>
          <w:szCs w:val="22"/>
        </w:rPr>
        <w:t>20</w:t>
      </w:r>
      <w:r w:rsidR="00EC2C7D" w:rsidRPr="00CE70AA">
        <w:t>16 to 2017</w:t>
      </w:r>
      <w:r w:rsidR="00EC2C7D" w:rsidRPr="00CE70AA">
        <w:rPr>
          <w:szCs w:val="22"/>
        </w:rPr>
        <w:t>–</w:t>
      </w:r>
      <w:r w:rsidR="003B56A2">
        <w:rPr>
          <w:szCs w:val="22"/>
        </w:rPr>
        <w:t>20</w:t>
      </w:r>
      <w:r w:rsidR="00EC2C7D" w:rsidRPr="00CE70AA">
        <w:t xml:space="preserve">18. The black horizontal dashed </w:t>
      </w:r>
      <w:r w:rsidR="00EC2C7D" w:rsidRPr="00CE70AA">
        <w:lastRenderedPageBreak/>
        <w:t>lines represent the thresholds for level 3 and level 4, respectively. The average unit post</w:t>
      </w:r>
      <w:r w:rsidR="004C5AF7">
        <w:t>test score</w:t>
      </w:r>
      <w:r w:rsidR="007163D3">
        <w:t xml:space="preserve"> </w:t>
      </w:r>
      <w:r w:rsidR="00EC2C7D" w:rsidRPr="00CE70AA">
        <w:t xml:space="preserve">in all teachers’ classrooms increased over the four-year period. </w:t>
      </w:r>
      <w:r w:rsidR="003A191D">
        <w:t>T</w:t>
      </w:r>
      <w:r w:rsidR="00EC2C7D" w:rsidRPr="00CE70AA">
        <w:t>here were</w:t>
      </w:r>
      <w:r w:rsidR="003A191D">
        <w:t xml:space="preserve"> also</w:t>
      </w:r>
      <w:r w:rsidR="00EC2C7D" w:rsidRPr="00CE70AA">
        <w:t xml:space="preserve"> more teachers who achieved learning progression level 4 averages (corresponding to NGSS high school performance expectations) over time, 7.7% of teachers in 2015</w:t>
      </w:r>
      <w:r w:rsidR="00EC2C7D" w:rsidRPr="00CE70AA">
        <w:rPr>
          <w:szCs w:val="22"/>
        </w:rPr>
        <w:t>–</w:t>
      </w:r>
      <w:r w:rsidR="00CD55CB">
        <w:rPr>
          <w:szCs w:val="22"/>
        </w:rPr>
        <w:t>20</w:t>
      </w:r>
      <w:r w:rsidR="00EC2C7D" w:rsidRPr="00CE70AA">
        <w:t>16 to 13% in 2016</w:t>
      </w:r>
      <w:r w:rsidR="00EC2C7D" w:rsidRPr="00CE70AA">
        <w:rPr>
          <w:szCs w:val="22"/>
        </w:rPr>
        <w:t>–</w:t>
      </w:r>
      <w:r w:rsidR="00424F77">
        <w:rPr>
          <w:szCs w:val="22"/>
        </w:rPr>
        <w:t>20</w:t>
      </w:r>
      <w:r w:rsidR="00EC2C7D" w:rsidRPr="00CE70AA">
        <w:t>17 and to more than 22% in 2017</w:t>
      </w:r>
      <w:r w:rsidR="00EC2C7D" w:rsidRPr="00CE70AA">
        <w:rPr>
          <w:szCs w:val="22"/>
        </w:rPr>
        <w:t>–</w:t>
      </w:r>
      <w:r w:rsidR="00424F77">
        <w:rPr>
          <w:szCs w:val="22"/>
        </w:rPr>
        <w:t>20</w:t>
      </w:r>
      <w:r w:rsidR="00EC2C7D" w:rsidRPr="00CE70AA">
        <w:t>18 and 2018</w:t>
      </w:r>
      <w:r w:rsidR="00EC2C7D" w:rsidRPr="00CE70AA">
        <w:rPr>
          <w:szCs w:val="22"/>
        </w:rPr>
        <w:t>–</w:t>
      </w:r>
      <w:r w:rsidR="00424F77">
        <w:rPr>
          <w:szCs w:val="22"/>
        </w:rPr>
        <w:t>20</w:t>
      </w:r>
      <w:r w:rsidR="00EC2C7D" w:rsidRPr="00CE70AA">
        <w:t>19.</w:t>
      </w:r>
    </w:p>
    <w:p w14:paraId="3C00AB7F" w14:textId="77777777" w:rsidR="00A52AF2" w:rsidRDefault="00A52AF2">
      <w:pPr>
        <w:rPr>
          <w:b/>
        </w:rPr>
      </w:pPr>
      <w:r>
        <w:rPr>
          <w:b/>
        </w:rPr>
        <w:br w:type="page"/>
      </w:r>
    </w:p>
    <w:p w14:paraId="1499D1C9" w14:textId="7BC126F6" w:rsidR="003D010E" w:rsidRPr="00A52AF2" w:rsidRDefault="003D010E" w:rsidP="00A52AF2">
      <w:pPr>
        <w:pStyle w:val="standard"/>
        <w:spacing w:line="240" w:lineRule="auto"/>
        <w:ind w:firstLine="0"/>
        <w:rPr>
          <w:b/>
        </w:rPr>
      </w:pPr>
      <w:r w:rsidRPr="00A52AF2">
        <w:rPr>
          <w:b/>
        </w:rPr>
        <w:lastRenderedPageBreak/>
        <w:t>Figure 6</w:t>
      </w:r>
    </w:p>
    <w:p w14:paraId="526D1935" w14:textId="77777777" w:rsidR="002E6694" w:rsidRDefault="002E6694" w:rsidP="002E6694">
      <w:pPr>
        <w:pStyle w:val="standard"/>
        <w:spacing w:line="240" w:lineRule="auto"/>
        <w:ind w:firstLine="0"/>
        <w:rPr>
          <w:rFonts w:cs="Arial"/>
          <w:b/>
          <w:bCs/>
          <w:iCs/>
          <w:szCs w:val="24"/>
        </w:rPr>
      </w:pPr>
      <w:r>
        <w:rPr>
          <w:rFonts w:cs="Arial" w:hint="eastAsia"/>
          <w:b/>
          <w:bCs/>
          <w:iCs/>
          <w:szCs w:val="24"/>
        </w:rPr>
        <w:t>A</w:t>
      </w:r>
    </w:p>
    <w:p w14:paraId="3E6CE616" w14:textId="77777777" w:rsidR="002E6694" w:rsidRDefault="002E6694" w:rsidP="002E6694">
      <w:pPr>
        <w:rPr>
          <w:rFonts w:cs="Arial"/>
          <w:b/>
          <w:bCs/>
        </w:rPr>
      </w:pPr>
      <w:r w:rsidRPr="00355785">
        <w:rPr>
          <w:rFonts w:cs="Arial"/>
          <w:b/>
          <w:bCs/>
          <w:noProof/>
        </w:rPr>
        <w:drawing>
          <wp:inline distT="0" distB="0" distL="0" distR="0" wp14:anchorId="40C8C726" wp14:editId="718CD897">
            <wp:extent cx="5194852" cy="3395951"/>
            <wp:effectExtent l="0" t="0" r="0" b="0"/>
            <wp:docPr id="8" name="Picture 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line chart&#10;&#10;Description automatically generated"/>
                    <pic:cNvPicPr/>
                  </pic:nvPicPr>
                  <pic:blipFill>
                    <a:blip r:embed="rId20"/>
                    <a:stretch>
                      <a:fillRect/>
                    </a:stretch>
                  </pic:blipFill>
                  <pic:spPr>
                    <a:xfrm>
                      <a:off x="0" y="0"/>
                      <a:ext cx="5353508" cy="3499667"/>
                    </a:xfrm>
                    <a:prstGeom prst="rect">
                      <a:avLst/>
                    </a:prstGeom>
                  </pic:spPr>
                </pic:pic>
              </a:graphicData>
            </a:graphic>
          </wp:inline>
        </w:drawing>
      </w:r>
    </w:p>
    <w:p w14:paraId="72C3C00B" w14:textId="77777777" w:rsidR="002E6694" w:rsidRPr="0044054B" w:rsidRDefault="002E6694" w:rsidP="002E6694">
      <w:pPr>
        <w:pStyle w:val="standard"/>
        <w:spacing w:line="240" w:lineRule="auto"/>
        <w:ind w:firstLine="0"/>
        <w:rPr>
          <w:rFonts w:cs="Arial"/>
          <w:iCs/>
          <w:szCs w:val="24"/>
        </w:rPr>
      </w:pPr>
      <w:r w:rsidRPr="0044054B">
        <w:rPr>
          <w:rFonts w:cs="Arial"/>
          <w:iCs/>
          <w:szCs w:val="24"/>
        </w:rPr>
        <w:t>Mean and 95% Confidence Interval of Average Unit Post for 133 Teachers and Their 245 Classrooms, across Academic Years from 2015–2016 to 2018–2019</w:t>
      </w:r>
    </w:p>
    <w:p w14:paraId="5AAB4EF8" w14:textId="77777777" w:rsidR="002E6694" w:rsidRDefault="002E6694" w:rsidP="002E6694">
      <w:pPr>
        <w:rPr>
          <w:rFonts w:cs="Arial"/>
          <w:b/>
          <w:bCs/>
        </w:rPr>
      </w:pPr>
    </w:p>
    <w:p w14:paraId="79016C5D" w14:textId="77777777" w:rsidR="002E6694" w:rsidRDefault="002E6694" w:rsidP="002E6694">
      <w:pPr>
        <w:rPr>
          <w:rFonts w:cs="Arial"/>
          <w:b/>
          <w:bCs/>
        </w:rPr>
      </w:pPr>
      <w:r>
        <w:rPr>
          <w:rFonts w:cs="Arial" w:hint="eastAsia"/>
          <w:b/>
          <w:bCs/>
        </w:rPr>
        <w:t>B</w:t>
      </w:r>
    </w:p>
    <w:p w14:paraId="46A717AF" w14:textId="77777777" w:rsidR="002E6694" w:rsidRPr="00C07173" w:rsidRDefault="002E6694" w:rsidP="002E6694">
      <w:pPr>
        <w:rPr>
          <w:rFonts w:cs="Arial"/>
          <w:b/>
          <w:bCs/>
        </w:rPr>
      </w:pPr>
      <w:r>
        <w:rPr>
          <w:rFonts w:cs="Arial"/>
          <w:b/>
          <w:bCs/>
          <w:noProof/>
        </w:rPr>
        <w:drawing>
          <wp:inline distT="0" distB="0" distL="0" distR="0" wp14:anchorId="435E0640" wp14:editId="0922A696">
            <wp:extent cx="5512904" cy="3213505"/>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8281" cy="3239955"/>
                    </a:xfrm>
                    <a:prstGeom prst="rect">
                      <a:avLst/>
                    </a:prstGeom>
                  </pic:spPr>
                </pic:pic>
              </a:graphicData>
            </a:graphic>
          </wp:inline>
        </w:drawing>
      </w:r>
    </w:p>
    <w:p w14:paraId="13445DA2" w14:textId="77777777" w:rsidR="002E6694" w:rsidRPr="0060383B" w:rsidRDefault="002E6694" w:rsidP="002E6694">
      <w:pPr>
        <w:pStyle w:val="standard"/>
        <w:spacing w:line="240" w:lineRule="auto"/>
        <w:ind w:firstLine="0"/>
        <w:rPr>
          <w:rFonts w:cs="Arial"/>
          <w:iCs/>
          <w:szCs w:val="24"/>
        </w:rPr>
      </w:pPr>
      <w:r w:rsidRPr="00CE70AA">
        <w:rPr>
          <w:rFonts w:cs="Arial"/>
          <w:iCs/>
          <w:szCs w:val="24"/>
        </w:rPr>
        <w:t>Mean and 95% Confidence Interval of Average Learning Gain for Each Teacher from 2015–</w:t>
      </w:r>
      <w:r>
        <w:rPr>
          <w:rFonts w:cs="Arial"/>
          <w:iCs/>
          <w:szCs w:val="24"/>
        </w:rPr>
        <w:t>20</w:t>
      </w:r>
      <w:r w:rsidRPr="00CE70AA">
        <w:rPr>
          <w:rFonts w:cs="Arial"/>
          <w:iCs/>
          <w:szCs w:val="24"/>
        </w:rPr>
        <w:t>16 to 2018–</w:t>
      </w:r>
      <w:r>
        <w:rPr>
          <w:rFonts w:cs="Arial"/>
          <w:iCs/>
          <w:szCs w:val="24"/>
        </w:rPr>
        <w:t>20</w:t>
      </w:r>
      <w:r w:rsidRPr="00CE70AA">
        <w:rPr>
          <w:rFonts w:cs="Arial"/>
          <w:iCs/>
          <w:szCs w:val="24"/>
        </w:rPr>
        <w:t>19</w:t>
      </w:r>
    </w:p>
    <w:p w14:paraId="50E6CB85" w14:textId="5EB3625B" w:rsidR="00EC2C7D" w:rsidRDefault="00EC2C7D" w:rsidP="00D12A4B">
      <w:pPr>
        <w:pStyle w:val="standard"/>
      </w:pPr>
      <w:r w:rsidRPr="00CE70AA">
        <w:lastRenderedPageBreak/>
        <w:t xml:space="preserve">Figure </w:t>
      </w:r>
      <w:r w:rsidR="0061722F">
        <w:rPr>
          <w:iCs/>
        </w:rPr>
        <w:t>6B</w:t>
      </w:r>
      <w:r w:rsidRPr="00CE70AA">
        <w:t xml:space="preserve"> shows the average learning gain (i.e., average difference between full pretest and unit posttests, represented by the dot) and 95% confidence interval (represented by the error bar) in 245 classrooms. Although all classrooms had positive average learning gains, the difference</w:t>
      </w:r>
      <w:r w:rsidR="004F7A87">
        <w:t>s</w:t>
      </w:r>
      <w:r w:rsidRPr="00CE70AA">
        <w:t xml:space="preserve"> among classrooms w</w:t>
      </w:r>
      <w:r w:rsidR="004F7A87">
        <w:t xml:space="preserve">ere </w:t>
      </w:r>
      <w:r w:rsidRPr="00CE70AA">
        <w:t>substantial, even after taking account into sampling variability.</w:t>
      </w:r>
      <w:r w:rsidRPr="00CE70AA" w:rsidDel="001910AA">
        <w:t xml:space="preserve"> </w:t>
      </w:r>
      <w:r w:rsidRPr="00CE70AA">
        <w:t xml:space="preserve">The dashed horizontal line in each year represents the average learning gain for that particular year. As </w:t>
      </w:r>
      <w:r w:rsidR="00775AE3">
        <w:t>shown</w:t>
      </w:r>
      <w:r w:rsidRPr="00CE70AA">
        <w:t>, the average learning gain increas</w:t>
      </w:r>
      <w:r w:rsidR="006E1A09">
        <w:t>ed</w:t>
      </w:r>
      <w:r w:rsidRPr="00CE70AA">
        <w:t xml:space="preserve"> from 2015</w:t>
      </w:r>
      <w:r w:rsidRPr="00CE70AA">
        <w:rPr>
          <w:szCs w:val="22"/>
        </w:rPr>
        <w:t>–</w:t>
      </w:r>
      <w:r w:rsidR="001D6B1E">
        <w:rPr>
          <w:szCs w:val="22"/>
        </w:rPr>
        <w:t>20</w:t>
      </w:r>
      <w:r w:rsidRPr="00CE70AA">
        <w:t>16, to 2017</w:t>
      </w:r>
      <w:r w:rsidRPr="00CE70AA">
        <w:rPr>
          <w:szCs w:val="22"/>
        </w:rPr>
        <w:t>–</w:t>
      </w:r>
      <w:r w:rsidR="001D6B1E">
        <w:rPr>
          <w:szCs w:val="22"/>
        </w:rPr>
        <w:t>20</w:t>
      </w:r>
      <w:r w:rsidRPr="00CE70AA">
        <w:t>18, and 2018</w:t>
      </w:r>
      <w:r w:rsidRPr="00CE70AA">
        <w:rPr>
          <w:szCs w:val="22"/>
        </w:rPr>
        <w:t>–</w:t>
      </w:r>
      <w:r w:rsidR="001D6B1E">
        <w:rPr>
          <w:szCs w:val="22"/>
        </w:rPr>
        <w:t>20</w:t>
      </w:r>
      <w:r w:rsidRPr="00CE70AA">
        <w:t>19 was slightly lower than 2017</w:t>
      </w:r>
      <w:r w:rsidRPr="00CE70AA">
        <w:rPr>
          <w:szCs w:val="22"/>
        </w:rPr>
        <w:t>–</w:t>
      </w:r>
      <w:r w:rsidR="001D6B1E">
        <w:rPr>
          <w:szCs w:val="22"/>
        </w:rPr>
        <w:t>20</w:t>
      </w:r>
      <w:r w:rsidRPr="00CE70AA">
        <w:t>18, but still higher than 2016</w:t>
      </w:r>
      <w:r w:rsidRPr="00CE70AA">
        <w:rPr>
          <w:szCs w:val="22"/>
        </w:rPr>
        <w:t>–</w:t>
      </w:r>
      <w:r w:rsidR="001D6B1E">
        <w:rPr>
          <w:szCs w:val="22"/>
        </w:rPr>
        <w:t>20</w:t>
      </w:r>
      <w:r w:rsidRPr="00CE70AA">
        <w:t xml:space="preserve">17. This indicated that, on average, the learning of students participating in the </w:t>
      </w:r>
      <w:r w:rsidRPr="00CE70AA">
        <w:rPr>
          <w:i/>
        </w:rPr>
        <w:t>Carbon TIME</w:t>
      </w:r>
      <w:r w:rsidRPr="00CE70AA">
        <w:t xml:space="preserve"> program</w:t>
      </w:r>
      <w:r w:rsidRPr="00CE70AA">
        <w:t xml:space="preserve"> increased over time.</w:t>
      </w:r>
    </w:p>
    <w:p w14:paraId="2FA80D2F" w14:textId="5DC93B36" w:rsidR="00537D34" w:rsidRDefault="00053610" w:rsidP="00D12A4B">
      <w:pPr>
        <w:pStyle w:val="standard"/>
      </w:pPr>
      <w:r>
        <w:rPr>
          <w:i/>
        </w:rPr>
        <w:t xml:space="preserve">Changes in student learning as teachers gained experience.  </w:t>
      </w:r>
      <w:r w:rsidR="00EC2C7D" w:rsidRPr="00CE70AA">
        <w:t xml:space="preserve">Figure </w:t>
      </w:r>
      <w:r w:rsidR="001144A4">
        <w:t>7</w:t>
      </w:r>
      <w:r w:rsidR="00EC2C7D" w:rsidRPr="00CE70AA">
        <w:t xml:space="preserve"> shows changes in student learning for individual teachers as they gained experience and participated in professional development. Specifically, Figure </w:t>
      </w:r>
      <w:r w:rsidR="001144A4">
        <w:t>7</w:t>
      </w:r>
      <w:r w:rsidR="00EC2C7D" w:rsidRPr="00CE70AA">
        <w:t xml:space="preserve"> shows the average learning gain (i.e., average difference between full pretest and unit posttests) and 95% confidence interval across each year of teachers’ experience of teaching</w:t>
      </w:r>
      <w:r w:rsidR="00BD0361">
        <w:t xml:space="preserve"> </w:t>
      </w:r>
      <w:r w:rsidR="00EC2C7D" w:rsidRPr="00CE70AA">
        <w:rPr>
          <w:i/>
        </w:rPr>
        <w:t>Carbon TIME.</w:t>
      </w:r>
      <w:r w:rsidR="00EC2C7D" w:rsidRPr="00CE70AA">
        <w:rPr>
          <w:i/>
        </w:rPr>
        <w:t xml:space="preserve"> </w:t>
      </w:r>
      <w:r w:rsidR="00EC2C7D" w:rsidRPr="00CE70AA">
        <w:t>Most teachers participated in data collection for two years; some volunteered to continue providing data for a third and fourth year. The horizontal dashed lines represent the average for each stage. Class average learning gains increased as teachers gained more experience, especially in the first three years of teaching</w:t>
      </w:r>
      <w:r w:rsidR="00BD0361">
        <w:t xml:space="preserve"> </w:t>
      </w:r>
      <w:r w:rsidR="00EC2C7D" w:rsidRPr="00CE70AA">
        <w:rPr>
          <w:i/>
        </w:rPr>
        <w:t>Carbon TIME</w:t>
      </w:r>
      <w:r w:rsidR="00EC2C7D" w:rsidRPr="00CE70AA">
        <w:t>.</w:t>
      </w:r>
    </w:p>
    <w:p w14:paraId="08C60F8A" w14:textId="77777777" w:rsidR="00A52AF2" w:rsidRDefault="00A52AF2">
      <w:pPr>
        <w:rPr>
          <w:b/>
        </w:rPr>
      </w:pPr>
      <w:r>
        <w:rPr>
          <w:b/>
        </w:rPr>
        <w:br w:type="page"/>
      </w:r>
    </w:p>
    <w:p w14:paraId="072E160A" w14:textId="6BB13834" w:rsidR="003E7C6E" w:rsidRPr="00A52AF2" w:rsidRDefault="003E7C6E" w:rsidP="00A52AF2">
      <w:pPr>
        <w:pStyle w:val="standard"/>
        <w:ind w:firstLine="0"/>
        <w:rPr>
          <w:b/>
        </w:rPr>
      </w:pPr>
      <w:r w:rsidRPr="00A52AF2">
        <w:rPr>
          <w:b/>
        </w:rPr>
        <w:lastRenderedPageBreak/>
        <w:t>Figure 7</w:t>
      </w:r>
    </w:p>
    <w:p w14:paraId="7FD243F0" w14:textId="77777777" w:rsidR="00537D34" w:rsidRPr="00CE70AA" w:rsidRDefault="00537D34" w:rsidP="00537D34">
      <w:pPr>
        <w:jc w:val="center"/>
        <w:rPr>
          <w:rFonts w:cs="Arial"/>
          <w:b/>
          <w:bCs/>
        </w:rPr>
      </w:pPr>
      <w:r w:rsidRPr="00151E2E">
        <w:rPr>
          <w:rFonts w:cs="Arial"/>
          <w:b/>
          <w:bCs/>
          <w:noProof/>
        </w:rPr>
        <w:drawing>
          <wp:inline distT="0" distB="0" distL="0" distR="0" wp14:anchorId="68DAF456" wp14:editId="32DC752A">
            <wp:extent cx="5943600" cy="3631565"/>
            <wp:effectExtent l="0" t="0" r="0" b="635"/>
            <wp:docPr id="9" name="Picture 9" descr="Graphical user interfac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 histogram&#10;&#10;Description automatically generated"/>
                    <pic:cNvPicPr/>
                  </pic:nvPicPr>
                  <pic:blipFill>
                    <a:blip r:embed="rId22"/>
                    <a:stretch>
                      <a:fillRect/>
                    </a:stretch>
                  </pic:blipFill>
                  <pic:spPr>
                    <a:xfrm>
                      <a:off x="0" y="0"/>
                      <a:ext cx="5943600" cy="3631565"/>
                    </a:xfrm>
                    <a:prstGeom prst="rect">
                      <a:avLst/>
                    </a:prstGeom>
                  </pic:spPr>
                </pic:pic>
              </a:graphicData>
            </a:graphic>
          </wp:inline>
        </w:drawing>
      </w:r>
    </w:p>
    <w:p w14:paraId="408550F0" w14:textId="77777777" w:rsidR="00537D34" w:rsidRDefault="00537D34" w:rsidP="00537D34">
      <w:pPr>
        <w:rPr>
          <w:rFonts w:cs="Arial"/>
          <w:i/>
          <w:szCs w:val="22"/>
        </w:rPr>
      </w:pPr>
      <w:r w:rsidRPr="00CE70AA">
        <w:rPr>
          <w:rFonts w:cs="Arial"/>
          <w:iCs/>
          <w:szCs w:val="22"/>
        </w:rPr>
        <w:t>Mean and 95% Confidence Interval of Average Learning Gain as They Gained More Experience in Teaching</w:t>
      </w:r>
      <w:r>
        <w:rPr>
          <w:rFonts w:cs="Arial"/>
          <w:iCs/>
          <w:szCs w:val="22"/>
        </w:rPr>
        <w:t xml:space="preserve"> the Project Units</w:t>
      </w:r>
    </w:p>
    <w:p w14:paraId="557EDFAD" w14:textId="77777777" w:rsidR="00537D34" w:rsidRPr="00622B35" w:rsidRDefault="00537D34" w:rsidP="00537D34">
      <w:pPr>
        <w:pStyle w:val="CommentText"/>
        <w:rPr>
          <w:rFonts w:ascii="Times New Roman" w:hAnsi="Times New Roman"/>
          <w:sz w:val="24"/>
          <w:szCs w:val="24"/>
        </w:rPr>
      </w:pPr>
      <w:r w:rsidRPr="00622B35">
        <w:rPr>
          <w:rFonts w:ascii="Times New Roman" w:hAnsi="Times New Roman"/>
          <w:i/>
          <w:iCs/>
          <w:sz w:val="24"/>
          <w:szCs w:val="24"/>
        </w:rPr>
        <w:t xml:space="preserve">Notes. </w:t>
      </w:r>
      <w:r w:rsidRPr="00622B35">
        <w:rPr>
          <w:rFonts w:ascii="Times New Roman" w:hAnsi="Times New Roman"/>
          <w:sz w:val="24"/>
          <w:szCs w:val="24"/>
        </w:rPr>
        <w:t xml:space="preserve">We see the same pattern for VAMs as the raw learning gains, but we chose to show the raw learning gains, as the estimation of standard errors for VAM is controversial </w:t>
      </w:r>
      <w:r w:rsidRPr="00622B35">
        <w:rPr>
          <w:rFonts w:ascii="Times New Roman" w:eastAsiaTheme="minorEastAsia" w:hAnsi="Times New Roman"/>
          <w:sz w:val="24"/>
          <w:szCs w:val="24"/>
        </w:rPr>
        <w:t>(</w:t>
      </w:r>
      <w:proofErr w:type="spellStart"/>
      <w:r w:rsidRPr="00622B35">
        <w:rPr>
          <w:rFonts w:ascii="Times New Roman" w:hAnsi="Times New Roman"/>
          <w:sz w:val="24"/>
          <w:szCs w:val="24"/>
        </w:rPr>
        <w:t>Bibler</w:t>
      </w:r>
      <w:proofErr w:type="spellEnd"/>
      <w:r w:rsidRPr="00622B35">
        <w:rPr>
          <w:rFonts w:ascii="Times New Roman" w:hAnsi="Times New Roman"/>
          <w:sz w:val="24"/>
          <w:szCs w:val="24"/>
        </w:rPr>
        <w:t xml:space="preserve"> et al., 2014</w:t>
      </w:r>
      <w:r w:rsidRPr="00622B35">
        <w:rPr>
          <w:rFonts w:ascii="Times New Roman" w:eastAsiaTheme="minorEastAsia" w:hAnsi="Times New Roman"/>
          <w:sz w:val="24"/>
          <w:szCs w:val="24"/>
        </w:rPr>
        <w:t>)</w:t>
      </w:r>
      <w:r w:rsidRPr="00622B35">
        <w:rPr>
          <w:rFonts w:ascii="Times New Roman" w:hAnsi="Times New Roman"/>
          <w:sz w:val="24"/>
          <w:szCs w:val="24"/>
        </w:rPr>
        <w:t>.</w:t>
      </w:r>
    </w:p>
    <w:p w14:paraId="7F57DD8A" w14:textId="77777777" w:rsidR="00537D34" w:rsidRDefault="00537D34" w:rsidP="00E859C8">
      <w:pPr>
        <w:pStyle w:val="standard"/>
      </w:pPr>
    </w:p>
    <w:p w14:paraId="072AE3C5" w14:textId="2DDF8A62" w:rsidR="00EC2C7D" w:rsidRPr="00CE70AA" w:rsidRDefault="006E1A09" w:rsidP="00E859C8">
      <w:pPr>
        <w:pStyle w:val="standard"/>
      </w:pPr>
      <w:r>
        <w:t>We</w:t>
      </w:r>
      <w:r w:rsidR="00EC2C7D" w:rsidRPr="00CE70AA">
        <w:t xml:space="preserve"> applied </w:t>
      </w:r>
      <w:r>
        <w:t>two</w:t>
      </w:r>
      <w:r w:rsidR="00EC2C7D" w:rsidRPr="00CE70AA">
        <w:t>-level hierarchical linear model</w:t>
      </w:r>
      <w:r w:rsidR="00D55100">
        <w:t>s</w:t>
      </w:r>
      <w:r w:rsidR="00FA47A3">
        <w:t xml:space="preserve"> (Models 3 and 4 in Table 2)</w:t>
      </w:r>
      <w:r w:rsidR="00EC2C7D" w:rsidRPr="00CE70AA">
        <w:t xml:space="preserve"> to quantify the effect on students’ learning gains</w:t>
      </w:r>
      <w:r w:rsidR="00EC2C7D">
        <w:t xml:space="preserve"> </w:t>
      </w:r>
      <w:r w:rsidR="00177341">
        <w:t>(controlling for school demographic factors)</w:t>
      </w:r>
      <w:r w:rsidR="00EC2C7D" w:rsidRPr="00CE70AA">
        <w:t xml:space="preserve"> from: (a)</w:t>
      </w:r>
      <w:r w:rsidR="00103A71">
        <w:t xml:space="preserve"> </w:t>
      </w:r>
      <w:r w:rsidR="002E782A">
        <w:t>the cohort year to estimate how the</w:t>
      </w:r>
      <w:r w:rsidR="00BD0361">
        <w:t xml:space="preserve"> </w:t>
      </w:r>
      <w:r w:rsidR="00103A71" w:rsidRPr="00CE70AA">
        <w:rPr>
          <w:i/>
        </w:rPr>
        <w:t>Carbon TIME</w:t>
      </w:r>
      <w:r w:rsidR="00103A71" w:rsidRPr="00CE70AA">
        <w:t xml:space="preserve"> units and professional development</w:t>
      </w:r>
      <w:r w:rsidR="000E6634">
        <w:t xml:space="preserve"> </w:t>
      </w:r>
      <w:r w:rsidR="002E782A">
        <w:t xml:space="preserve">changed </w:t>
      </w:r>
      <w:r w:rsidR="000E6634">
        <w:t>over time</w:t>
      </w:r>
      <w:r w:rsidR="00103A71">
        <w:t>; and (b)</w:t>
      </w:r>
      <w:r w:rsidR="00EC2C7D" w:rsidRPr="00CE70AA">
        <w:t xml:space="preserve"> </w:t>
      </w:r>
      <w:r w:rsidR="005A7619">
        <w:t>the teacher’s year to estimate how teachers changed with more experience wit</w:t>
      </w:r>
      <w:r w:rsidR="003E7C6E">
        <w:t xml:space="preserve">h </w:t>
      </w:r>
      <w:r w:rsidR="005A7619" w:rsidRPr="00FF2ED4">
        <w:rPr>
          <w:i/>
          <w:iCs/>
        </w:rPr>
        <w:t>Carbon TIME</w:t>
      </w:r>
      <w:r w:rsidR="005A7619">
        <w:t xml:space="preserve">. </w:t>
      </w:r>
      <w:r w:rsidR="00EC2C7D" w:rsidRPr="00CE70AA">
        <w:t xml:space="preserve">The results are presented in the last two columns in Table 4 (Model 3 and Model 4). </w:t>
      </w:r>
      <w:r w:rsidR="00871941" w:rsidRPr="00CE70AA">
        <w:t xml:space="preserve">From Model </w:t>
      </w:r>
      <w:r w:rsidR="00871941">
        <w:t>3</w:t>
      </w:r>
      <w:r w:rsidR="00871941" w:rsidRPr="00CE70AA">
        <w:t>, we find evidence for the effect of improvement in</w:t>
      </w:r>
      <w:r w:rsidR="003E7C6E">
        <w:t xml:space="preserve"> </w:t>
      </w:r>
      <w:r w:rsidR="00871941" w:rsidRPr="00CE70AA">
        <w:rPr>
          <w:i/>
        </w:rPr>
        <w:t>Carbon TIME</w:t>
      </w:r>
      <w:r w:rsidR="003E7C6E" w:rsidRPr="00A52AF2">
        <w:rPr>
          <w:i/>
        </w:rPr>
        <w:t xml:space="preserve"> </w:t>
      </w:r>
      <w:r w:rsidR="00871941" w:rsidRPr="00CE70AA">
        <w:t>units and professional development on students’ learning: from the year of 2015</w:t>
      </w:r>
      <w:r w:rsidR="00871941" w:rsidRPr="00CE70AA">
        <w:rPr>
          <w:szCs w:val="22"/>
        </w:rPr>
        <w:t>–</w:t>
      </w:r>
      <w:r w:rsidR="00871941">
        <w:rPr>
          <w:szCs w:val="22"/>
        </w:rPr>
        <w:t>20</w:t>
      </w:r>
      <w:r w:rsidR="00871941" w:rsidRPr="00CE70AA">
        <w:t>16 to 2017</w:t>
      </w:r>
      <w:r w:rsidR="00871941" w:rsidRPr="00CE70AA">
        <w:rPr>
          <w:szCs w:val="22"/>
        </w:rPr>
        <w:t>–</w:t>
      </w:r>
      <w:r w:rsidR="00871941">
        <w:rPr>
          <w:szCs w:val="22"/>
        </w:rPr>
        <w:t>20</w:t>
      </w:r>
      <w:r w:rsidR="00871941" w:rsidRPr="00CE70AA">
        <w:t>18, there was a significant increase of 0.51 logits in students’ learning gains.</w:t>
      </w:r>
      <w:r w:rsidR="00313789">
        <w:t xml:space="preserve"> </w:t>
      </w:r>
      <w:r w:rsidR="00EC2C7D" w:rsidRPr="00CE70AA">
        <w:t xml:space="preserve">From Model </w:t>
      </w:r>
      <w:r w:rsidR="00E859C8">
        <w:t>4</w:t>
      </w:r>
      <w:r w:rsidR="00EC2C7D" w:rsidRPr="00CE70AA">
        <w:t xml:space="preserve">, we can tell </w:t>
      </w:r>
      <w:r w:rsidR="00EC2C7D" w:rsidRPr="00CE70AA">
        <w:lastRenderedPageBreak/>
        <w:t>students’ learning gains increased significantly (0.53 logits) as teachers gained more experience from their first year to third year of teaching</w:t>
      </w:r>
      <w:r w:rsidR="003E7C6E">
        <w:t xml:space="preserve"> </w:t>
      </w:r>
      <w:r w:rsidR="00EC2C7D" w:rsidRPr="00CE70AA">
        <w:rPr>
          <w:i/>
        </w:rPr>
        <w:t>Carbon TIME</w:t>
      </w:r>
      <w:r w:rsidR="00EC2C7D" w:rsidRPr="00CE70AA">
        <w:t>.</w:t>
      </w:r>
      <w:r w:rsidR="00EC2C7D" w:rsidRPr="00CE70AA">
        <w:t xml:space="preserve"> </w:t>
      </w:r>
    </w:p>
    <w:p w14:paraId="1D0169FC" w14:textId="6CB01ADA" w:rsidR="00EC2C7D" w:rsidRPr="00EC2C7D" w:rsidRDefault="006E1A09" w:rsidP="00503271">
      <w:pPr>
        <w:pStyle w:val="standard"/>
      </w:pPr>
      <w:r>
        <w:t>W</w:t>
      </w:r>
      <w:r w:rsidR="00EC2C7D" w:rsidRPr="00CE70AA">
        <w:t xml:space="preserve">e cannot statistically distinguish </w:t>
      </w:r>
      <w:r>
        <w:t>which of these two factors—</w:t>
      </w:r>
      <w:r w:rsidR="00EC2C7D" w:rsidRPr="00CE70AA">
        <w:t xml:space="preserve">teachers gaining experience </w:t>
      </w:r>
      <w:r>
        <w:t>or</w:t>
      </w:r>
      <w:r w:rsidR="00EC2C7D" w:rsidRPr="00CE70AA">
        <w:t xml:space="preserve"> improvement in</w:t>
      </w:r>
      <w:r w:rsidR="003E7C6E">
        <w:t xml:space="preserve"> </w:t>
      </w:r>
      <w:r w:rsidR="00EC2C7D" w:rsidRPr="00CE70AA">
        <w:rPr>
          <w:i/>
        </w:rPr>
        <w:t>Carbon TIME</w:t>
      </w:r>
      <w:r w:rsidR="003E7C6E">
        <w:t xml:space="preserve"> </w:t>
      </w:r>
      <w:r w:rsidR="00EC2C7D" w:rsidRPr="00CE70AA">
        <w:t>units and professional development</w:t>
      </w:r>
      <w:r>
        <w:t>—contribute</w:t>
      </w:r>
      <w:r w:rsidR="00CD7A01">
        <w:t>d</w:t>
      </w:r>
      <w:r>
        <w:t xml:space="preserve"> more to the increases in student learning gains</w:t>
      </w:r>
      <w:r w:rsidR="00EC2C7D" w:rsidRPr="00CE70AA">
        <w:t xml:space="preserve">. These two predictors were collinear, as we would hope for </w:t>
      </w:r>
      <w:r w:rsidR="00CD7A01">
        <w:t xml:space="preserve">in </w:t>
      </w:r>
      <w:r w:rsidR="00EC2C7D" w:rsidRPr="00CE70AA">
        <w:t xml:space="preserve">a DBIR project: the research-practice partnership enabled teachers to improve their teaching practices and developers to improve the units and professional development. Table </w:t>
      </w:r>
      <w:r w:rsidR="00EC2C7D">
        <w:t>S</w:t>
      </w:r>
      <w:r w:rsidR="00A3377B">
        <w:t>3</w:t>
      </w:r>
      <w:r w:rsidR="00EC2C7D" w:rsidRPr="00CE70AA">
        <w:t xml:space="preserve"> in online supplementa</w:t>
      </w:r>
      <w:r w:rsidR="00EC2C7D">
        <w:t>ry</w:t>
      </w:r>
      <w:r w:rsidR="00EC2C7D" w:rsidRPr="00CE70AA">
        <w:t xml:space="preserve"> materials illustrates this collinearity by presenting how many teachers were in the project for each year and how many years of experience of teaching</w:t>
      </w:r>
      <w:r w:rsidR="003E7C6E">
        <w:t xml:space="preserve"> </w:t>
      </w:r>
      <w:r w:rsidR="00EC2C7D" w:rsidRPr="00CE70AA">
        <w:rPr>
          <w:i/>
        </w:rPr>
        <w:t>Carbon TIME</w:t>
      </w:r>
      <w:r w:rsidR="003E7C6E" w:rsidRPr="00A52AF2">
        <w:rPr>
          <w:i/>
        </w:rPr>
        <w:t xml:space="preserve"> </w:t>
      </w:r>
      <w:r w:rsidR="00EC2C7D" w:rsidRPr="00CE70AA">
        <w:t>the teacher had for each particular year. Teachers gaining experience and improvement in</w:t>
      </w:r>
      <w:r w:rsidR="003E7C6E">
        <w:t xml:space="preserve"> </w:t>
      </w:r>
      <w:r w:rsidR="00EC2C7D" w:rsidRPr="00CE70AA">
        <w:rPr>
          <w:i/>
        </w:rPr>
        <w:t>Carbon TIME</w:t>
      </w:r>
      <w:r w:rsidR="00EC2C7D" w:rsidRPr="00CE70AA">
        <w:rPr>
          <w:i/>
        </w:rPr>
        <w:t xml:space="preserve"> </w:t>
      </w:r>
      <w:r w:rsidR="00EC2C7D" w:rsidRPr="00CE70AA">
        <w:t>occurred at the same time. Additionally, fewer teachers participated in data collection after their first two years, making it difficult to draw statistical inferences</w:t>
      </w:r>
      <w:r w:rsidR="00CD7A01">
        <w:t xml:space="preserve"> about how effects of</w:t>
      </w:r>
      <w:r w:rsidR="003E7C6E">
        <w:t xml:space="preserve"> </w:t>
      </w:r>
      <w:r w:rsidR="00CD7A01">
        <w:rPr>
          <w:i/>
          <w:iCs/>
        </w:rPr>
        <w:t>Carbon TIME</w:t>
      </w:r>
      <w:r w:rsidR="00CD7A01">
        <w:rPr>
          <w:i/>
          <w:iCs/>
        </w:rPr>
        <w:t xml:space="preserve"> </w:t>
      </w:r>
      <w:r w:rsidR="00CD7A01">
        <w:t>changed over time</w:t>
      </w:r>
      <w:r w:rsidR="00EC2C7D" w:rsidRPr="00CE70AA">
        <w:t xml:space="preserve">. </w:t>
      </w:r>
    </w:p>
    <w:p w14:paraId="5BD11FB5" w14:textId="5F496054" w:rsidR="00442383" w:rsidRPr="004D3104" w:rsidRDefault="00442383" w:rsidP="004D3104">
      <w:pPr>
        <w:pStyle w:val="Heading1"/>
      </w:pPr>
      <w:bookmarkStart w:id="44" w:name="_Toc67662798"/>
      <w:bookmarkStart w:id="45" w:name="_Toc71207821"/>
      <w:r w:rsidRPr="004D3104">
        <w:t>Conclusion</w:t>
      </w:r>
      <w:bookmarkEnd w:id="44"/>
      <w:bookmarkEnd w:id="45"/>
    </w:p>
    <w:p w14:paraId="5C415D22" w14:textId="055A8909" w:rsidR="0012085D" w:rsidRDefault="006C7F9E" w:rsidP="00503271">
      <w:pPr>
        <w:pStyle w:val="standard"/>
      </w:pPr>
      <w:r>
        <w:t xml:space="preserve">We began this article with a basic question arising from Cohen and Mehta’s review of educational reforms: </w:t>
      </w:r>
      <w:r w:rsidR="00883540">
        <w:rPr>
          <w:i/>
          <w:iCs/>
        </w:rPr>
        <w:t>How can this standards-based reform be different</w:t>
      </w:r>
      <w:r w:rsidR="00883540">
        <w:t xml:space="preserve"> from all the previous </w:t>
      </w:r>
      <w:r w:rsidR="00E84692">
        <w:t>standards-based reform</w:t>
      </w:r>
      <w:r w:rsidR="006037E5">
        <w:t xml:space="preserve">s that have transformed teaching and learning </w:t>
      </w:r>
      <w:r w:rsidR="008522E7">
        <w:t xml:space="preserve">only in protected niches </w:t>
      </w:r>
      <w:r w:rsidR="00B019B6">
        <w:t>in our educational system.</w:t>
      </w:r>
      <w:r w:rsidR="00A055FC">
        <w:t xml:space="preserve"> </w:t>
      </w:r>
      <w:r w:rsidR="00B90F66">
        <w:t>Like other</w:t>
      </w:r>
      <w:r w:rsidR="00B26937">
        <w:t xml:space="preserve"> DBIR</w:t>
      </w:r>
      <w:r w:rsidR="00B90F66">
        <w:t xml:space="preserve"> projects</w:t>
      </w:r>
      <w:r w:rsidR="00AA4724">
        <w:t xml:space="preserve">, we </w:t>
      </w:r>
      <w:r w:rsidR="0008331C">
        <w:t>believe that the</w:t>
      </w:r>
      <w:r w:rsidR="00B26937">
        <w:t xml:space="preserve"> response</w:t>
      </w:r>
      <w:r w:rsidR="0008331C">
        <w:t xml:space="preserve"> to this challenge </w:t>
      </w:r>
      <w:r w:rsidR="001108A1">
        <w:t>will require</w:t>
      </w:r>
      <w:r w:rsidR="00604E9C">
        <w:t xml:space="preserve"> long-term, patient, iterative work that emphasizes research-</w:t>
      </w:r>
      <w:r w:rsidR="001A341C">
        <w:t>practice partnerships and adaptations to local communities.</w:t>
      </w:r>
      <w:r w:rsidR="00B26937">
        <w:t xml:space="preserve"> </w:t>
      </w:r>
      <w:r w:rsidR="00A323C3">
        <w:t>In this article we report</w:t>
      </w:r>
      <w:r w:rsidR="006B4C48">
        <w:t xml:space="preserve"> analyses of student learning</w:t>
      </w:r>
      <w:r w:rsidR="00A323C3">
        <w:t xml:space="preserve"> data </w:t>
      </w:r>
      <w:r w:rsidR="006B4C48">
        <w:t>from a project that had these characteristics</w:t>
      </w:r>
      <w:r w:rsidR="00252924">
        <w:t>.</w:t>
      </w:r>
      <w:r w:rsidR="002E56CD">
        <w:t xml:space="preserve"> </w:t>
      </w:r>
      <w:r w:rsidR="00B771D8">
        <w:t>In the paragraphs below we</w:t>
      </w:r>
      <w:r w:rsidR="00983AB9">
        <w:t xml:space="preserve"> first note important limitations of </w:t>
      </w:r>
      <w:r w:rsidR="00D32FB3">
        <w:t>this study, then</w:t>
      </w:r>
      <w:r w:rsidR="00B771D8">
        <w:t xml:space="preserve"> summarize </w:t>
      </w:r>
      <w:r w:rsidR="0090779B">
        <w:t>some key findings:</w:t>
      </w:r>
    </w:p>
    <w:p w14:paraId="63F6ABE1" w14:textId="5A5CED6A" w:rsidR="00E94BDF" w:rsidRDefault="00E94BDF" w:rsidP="00E94BDF">
      <w:pPr>
        <w:pStyle w:val="standard"/>
      </w:pPr>
      <w:r>
        <w:rPr>
          <w:b/>
          <w:bCs/>
        </w:rPr>
        <w:lastRenderedPageBreak/>
        <w:t>Limitations of the study.</w:t>
      </w:r>
      <w:r>
        <w:t xml:space="preserve"> Traditional large-scale quantitative research has sought conclusions that are generalizable to large populations, such as the general population of secondary science students and teachers in the United States. Like other DBIR research, this study has not led to those kinds of conclusions. The sample of teachers and students who provided data for this study was large and diverse, but not representative of </w:t>
      </w:r>
      <w:r w:rsidR="00F56126">
        <w:t xml:space="preserve">American secondary </w:t>
      </w:r>
      <w:proofErr w:type="gramStart"/>
      <w:r w:rsidR="00F56126">
        <w:t>schools as a whole</w:t>
      </w:r>
      <w:proofErr w:type="gramEnd"/>
      <w:r w:rsidR="00F56126">
        <w:t>.</w:t>
      </w:r>
      <w:r w:rsidR="007F28AA">
        <w:t xml:space="preserve"> The units </w:t>
      </w:r>
      <w:r w:rsidR="005677B1">
        <w:t xml:space="preserve">that we focused on addressed a small part of the science curriculum (around </w:t>
      </w:r>
      <w:r w:rsidR="00536AF3">
        <w:t>nine weeks of teaching in most classrooms).</w:t>
      </w:r>
      <w:r w:rsidR="00F56126">
        <w:t xml:space="preserve"> </w:t>
      </w:r>
      <w:r w:rsidR="00C12663">
        <w:t xml:space="preserve">The measures of student learning </w:t>
      </w:r>
      <w:r w:rsidR="006332EE">
        <w:t xml:space="preserve">were on-demand tests </w:t>
      </w:r>
      <w:r w:rsidR="00D30E4F">
        <w:t xml:space="preserve">that inevitably could not </w:t>
      </w:r>
      <w:r w:rsidR="00CB05E8">
        <w:t xml:space="preserve">assess the full extent </w:t>
      </w:r>
      <w:r w:rsidR="007F28AA">
        <w:t xml:space="preserve">of </w:t>
      </w:r>
      <w:r w:rsidR="00536AF3">
        <w:t xml:space="preserve">students’ three-dimensional reasoning. </w:t>
      </w:r>
      <w:r w:rsidR="00283DAB">
        <w:t xml:space="preserve">Other interpretations are always possible for the </w:t>
      </w:r>
      <w:r w:rsidR="006635DE">
        <w:t>analyses we report.</w:t>
      </w:r>
    </w:p>
    <w:p w14:paraId="34344BF5" w14:textId="16DD6484" w:rsidR="006A27D1" w:rsidRDefault="006A27D1" w:rsidP="00E94BDF">
      <w:pPr>
        <w:pStyle w:val="standard"/>
        <w:rPr>
          <w:lang w:eastAsia="zh-CN"/>
        </w:rPr>
      </w:pPr>
      <w:r>
        <w:t xml:space="preserve">We also note that the findings of this article are </w:t>
      </w:r>
      <w:r w:rsidR="00DE0F60">
        <w:t xml:space="preserve">limited to </w:t>
      </w:r>
      <w:r w:rsidR="00110B0E">
        <w:t xml:space="preserve">analyses of quantitative data from student tests </w:t>
      </w:r>
      <w:r w:rsidR="00016712">
        <w:t>in a larger DBIR project.</w:t>
      </w:r>
      <w:r w:rsidR="006B4C48">
        <w:t xml:space="preserve"> Other data from this project are reported in prior publications </w:t>
      </w:r>
      <w:r w:rsidR="000A4432">
        <w:t xml:space="preserve">and </w:t>
      </w:r>
      <w:r w:rsidR="006B4C48">
        <w:t>two other articles in development (</w:t>
      </w:r>
      <w:proofErr w:type="spellStart"/>
      <w:r w:rsidR="006B4C48">
        <w:t>Covitt</w:t>
      </w:r>
      <w:proofErr w:type="spellEnd"/>
      <w:r w:rsidR="006B4C48">
        <w:t xml:space="preserve"> et al.,</w:t>
      </w:r>
      <w:r w:rsidR="00A52AF2">
        <w:t xml:space="preserve"> in preparation</w:t>
      </w:r>
      <w:r w:rsidR="006B4C48">
        <w:t xml:space="preserve">; Morrison Thomas et al., </w:t>
      </w:r>
      <w:r w:rsidR="005410BA">
        <w:t>in preparation</w:t>
      </w:r>
      <w:r w:rsidR="006B4C48">
        <w:t xml:space="preserve">; see abstracts in online supplemental materials). </w:t>
      </w:r>
      <w:r w:rsidR="001676D8">
        <w:t xml:space="preserve">Our analyses of factors associated with </w:t>
      </w:r>
      <w:r w:rsidR="001514A9">
        <w:t xml:space="preserve">differences in student </w:t>
      </w:r>
      <w:r w:rsidR="00AA6764">
        <w:t xml:space="preserve">learning gains lead to qualitative questions </w:t>
      </w:r>
      <w:r w:rsidR="00AB1E51">
        <w:t xml:space="preserve">about </w:t>
      </w:r>
      <w:r w:rsidR="008D0C0B">
        <w:t xml:space="preserve">what was happening in </w:t>
      </w:r>
      <w:r w:rsidR="00AF4E3A">
        <w:t xml:space="preserve">those classrooms. </w:t>
      </w:r>
      <w:r w:rsidR="00D87BBA">
        <w:t>Our analyses addressing some of those qualitative questions are addressed in the paragraphs on additional questions to be investigated, below.</w:t>
      </w:r>
    </w:p>
    <w:p w14:paraId="27245C16" w14:textId="125004B0" w:rsidR="00D87BBA" w:rsidRPr="00492259" w:rsidRDefault="00F80121" w:rsidP="00E94BDF">
      <w:pPr>
        <w:pStyle w:val="standard"/>
      </w:pPr>
      <w:r>
        <w:t xml:space="preserve">While we acknowledge these limitations, we also believe that </w:t>
      </w:r>
      <w:r w:rsidR="00AF2A0B">
        <w:t xml:space="preserve">the analyses we report in this article include robust and important findings </w:t>
      </w:r>
      <w:r w:rsidR="00BC15F6">
        <w:t>relevant to three design goals that we share with other DBIR projects.</w:t>
      </w:r>
      <w:r w:rsidR="007B75D0">
        <w:t xml:space="preserve"> We address the implications of those findings below.</w:t>
      </w:r>
    </w:p>
    <w:p w14:paraId="0F7D847B" w14:textId="11BFA526" w:rsidR="00224A5E" w:rsidRDefault="0090779B" w:rsidP="007132B0">
      <w:pPr>
        <w:pStyle w:val="standard"/>
      </w:pPr>
      <w:r>
        <w:rPr>
          <w:b/>
        </w:rPr>
        <w:t>Assessing the success of the curricular “tool kit.”</w:t>
      </w:r>
      <w:r>
        <w:t xml:space="preserve"> </w:t>
      </w:r>
      <w:r w:rsidR="00F87DDF">
        <w:t>Our baseline data</w:t>
      </w:r>
      <w:r w:rsidR="0076164C">
        <w:t xml:space="preserve"> confirm a common finding of other </w:t>
      </w:r>
      <w:r w:rsidR="00B27C79">
        <w:t xml:space="preserve">studies: </w:t>
      </w:r>
      <w:r w:rsidR="00061C70">
        <w:t xml:space="preserve">most science curricula being used in schools today do not support students’ three-dimensional learning. </w:t>
      </w:r>
      <w:r w:rsidR="00410466">
        <w:t>However, s</w:t>
      </w:r>
      <w:r w:rsidR="00B6039B" w:rsidRPr="00B6039B">
        <w:t>tudents showed substantial learning gains after studying</w:t>
      </w:r>
      <w:r w:rsidR="003E7C6E">
        <w:t xml:space="preserve"> </w:t>
      </w:r>
      <w:r w:rsidR="00B6039B" w:rsidRPr="00B6039B">
        <w:rPr>
          <w:i/>
        </w:rPr>
        <w:t>Carbon TIME</w:t>
      </w:r>
      <w:r w:rsidR="00B6039B" w:rsidRPr="00B6039B">
        <w:t xml:space="preserve">. </w:t>
      </w:r>
      <w:r w:rsidR="005410BA">
        <w:t>S</w:t>
      </w:r>
      <w:r w:rsidR="00B6039B" w:rsidRPr="00B6039B">
        <w:t>tudents’</w:t>
      </w:r>
      <w:r w:rsidR="00B6039B" w:rsidRPr="00B6039B">
        <w:t xml:space="preserve"> learning</w:t>
      </w:r>
      <w:r w:rsidR="005410BA">
        <w:t xml:space="preserve"> </w:t>
      </w:r>
      <w:r w:rsidR="005410BA">
        <w:t xml:space="preserve">from </w:t>
      </w:r>
      <w:r w:rsidR="00E4179F" w:rsidRPr="00B6039B">
        <w:rPr>
          <w:i/>
        </w:rPr>
        <w:t>Carbon TIME</w:t>
      </w:r>
      <w:r w:rsidR="005410BA">
        <w:t xml:space="preserve"> units was</w:t>
      </w:r>
      <w:r w:rsidR="00B6039B" w:rsidRPr="00B6039B">
        <w:t xml:space="preserve"> both educationally and </w:t>
      </w:r>
      <w:r w:rsidR="00B6039B" w:rsidRPr="00B6039B">
        <w:lastRenderedPageBreak/>
        <w:t xml:space="preserve">statistically significantly larger compared with </w:t>
      </w:r>
      <w:r w:rsidR="009811D1">
        <w:t>the</w:t>
      </w:r>
      <w:r w:rsidR="009811D1" w:rsidRPr="00B6039B">
        <w:t xml:space="preserve"> </w:t>
      </w:r>
      <w:r w:rsidR="00B6039B" w:rsidRPr="00B6039B">
        <w:t>curricula</w:t>
      </w:r>
      <w:r w:rsidR="009811D1">
        <w:t xml:space="preserve"> that teachers had used previously</w:t>
      </w:r>
      <w:r w:rsidR="00B6039B" w:rsidRPr="00B6039B">
        <w:t>: Ninety-one percent of students who studied</w:t>
      </w:r>
      <w:r w:rsidR="003E7C6E">
        <w:t xml:space="preserve"> </w:t>
      </w:r>
      <w:r w:rsidR="00B6039B" w:rsidRPr="00B6039B">
        <w:rPr>
          <w:i/>
        </w:rPr>
        <w:t>Carbon TIME</w:t>
      </w:r>
      <w:r w:rsidR="00B6039B" w:rsidRPr="00B6039B">
        <w:rPr>
          <w:i/>
        </w:rPr>
        <w:t xml:space="preserve"> </w:t>
      </w:r>
      <w:r w:rsidR="00B6039B" w:rsidRPr="00B6039B">
        <w:t xml:space="preserve">scored higher on the overall posttest than the median of students who studied </w:t>
      </w:r>
      <w:r w:rsidR="00697054">
        <w:t>the teachers’ previous</w:t>
      </w:r>
      <w:r w:rsidR="00697054" w:rsidRPr="00B6039B">
        <w:t xml:space="preserve"> </w:t>
      </w:r>
      <w:r w:rsidR="00B6039B" w:rsidRPr="00B6039B">
        <w:t xml:space="preserve">curricula. </w:t>
      </w:r>
    </w:p>
    <w:p w14:paraId="145B1723" w14:textId="002F5ED4" w:rsidR="0090779B" w:rsidRDefault="00B6039B" w:rsidP="007132B0">
      <w:pPr>
        <w:pStyle w:val="standard"/>
      </w:pPr>
      <w:r w:rsidRPr="00B6039B">
        <w:t>Additionally,</w:t>
      </w:r>
      <w:r w:rsidR="003E7C6E">
        <w:t xml:space="preserve"> </w:t>
      </w:r>
      <w:r w:rsidRPr="00B6039B">
        <w:rPr>
          <w:i/>
        </w:rPr>
        <w:t>Carbon TIME</w:t>
      </w:r>
      <w:r w:rsidR="003E7C6E" w:rsidRPr="00E4179F">
        <w:rPr>
          <w:i/>
        </w:rPr>
        <w:t xml:space="preserve"> </w:t>
      </w:r>
      <w:r w:rsidRPr="00B6039B">
        <w:t xml:space="preserve">helped reduce the achievement gap within classrooms; students with lower pretest scores showed significantly higher learning gains. </w:t>
      </w:r>
      <w:r w:rsidR="00224A5E">
        <w:t xml:space="preserve">There is also </w:t>
      </w:r>
      <w:r w:rsidR="00077E67">
        <w:t xml:space="preserve">evidence that students’ learning gains were cumulative over time: </w:t>
      </w:r>
      <w:r w:rsidR="00D0076F">
        <w:t>Students showed higher learning gains in units that they took later in the sequence.</w:t>
      </w:r>
    </w:p>
    <w:p w14:paraId="5DBBD49B" w14:textId="44847E17" w:rsidR="00CA2C65" w:rsidRPr="00CA2C65" w:rsidRDefault="0090779B">
      <w:pPr>
        <w:pStyle w:val="standard"/>
      </w:pPr>
      <w:r>
        <w:rPr>
          <w:b/>
          <w:bCs/>
        </w:rPr>
        <w:t>Understanding the effects of diversity in schools, teachers, and students.</w:t>
      </w:r>
      <w:r>
        <w:t xml:space="preserve"> </w:t>
      </w:r>
      <w:r w:rsidR="00481B4C">
        <w:t xml:space="preserve">Both our qualitative </w:t>
      </w:r>
      <w:r w:rsidR="005641BC">
        <w:t>studies (</w:t>
      </w:r>
      <w:r w:rsidR="005410BA">
        <w:t>in preparation</w:t>
      </w:r>
      <w:r w:rsidR="005641BC">
        <w:t xml:space="preserve">) and the quantitative measures </w:t>
      </w:r>
      <w:r w:rsidR="003E52A8">
        <w:t xml:space="preserve">reported in this study show that “fidelity of implementation” is not a </w:t>
      </w:r>
      <w:r w:rsidR="00C43D00">
        <w:t>useful measure</w:t>
      </w:r>
      <w:r w:rsidR="003E52A8">
        <w:t xml:space="preserve"> of how different schools and teachers used the</w:t>
      </w:r>
      <w:r w:rsidR="003E7C6E">
        <w:t xml:space="preserve"> </w:t>
      </w:r>
      <w:r w:rsidR="007B61CC">
        <w:rPr>
          <w:i/>
          <w:iCs/>
        </w:rPr>
        <w:t>Carbon TIME</w:t>
      </w:r>
      <w:r w:rsidR="003E7C6E">
        <w:t xml:space="preserve"> </w:t>
      </w:r>
      <w:r w:rsidR="007B61CC">
        <w:t xml:space="preserve">curricular tool kit.  </w:t>
      </w:r>
      <w:r w:rsidR="004F6827">
        <w:t xml:space="preserve">Our classroom observations and teacher interviews show how </w:t>
      </w:r>
      <w:r w:rsidR="00135B46">
        <w:t xml:space="preserve">teacher used the </w:t>
      </w:r>
      <w:r w:rsidR="00772AC9">
        <w:t xml:space="preserve">units differently, in response to their </w:t>
      </w:r>
      <w:r w:rsidR="00E37B20">
        <w:t xml:space="preserve">own beliefs and commitments and to differences in their students and classroom circumstances. </w:t>
      </w:r>
      <w:r w:rsidR="00EC53B2">
        <w:t xml:space="preserve">Our findings show that those differences were consequential: </w:t>
      </w:r>
      <w:r w:rsidR="00CA2C65" w:rsidRPr="00CA2C65">
        <w:t>Students in different classrooms varied substantially in how much they learned fro</w:t>
      </w:r>
      <w:r w:rsidR="003E7C6E">
        <w:t xml:space="preserve">m </w:t>
      </w:r>
      <w:r w:rsidR="00CA2C65" w:rsidRPr="00CA2C65">
        <w:rPr>
          <w:i/>
          <w:iCs/>
        </w:rPr>
        <w:t>Carbon TIME.</w:t>
      </w:r>
      <w:r w:rsidR="00CA2C65" w:rsidRPr="00CA2C65">
        <w:rPr>
          <w:i/>
          <w:iCs/>
        </w:rPr>
        <w:t xml:space="preserve"> </w:t>
      </w:r>
      <w:r w:rsidR="00CA2C65" w:rsidRPr="00CA2C65">
        <w:t xml:space="preserve">The differences among teachers were large, educationally significant, and not attributable to other factors such as students’ prior knowledge or the racial composition of schools.  </w:t>
      </w:r>
    </w:p>
    <w:p w14:paraId="09D83021" w14:textId="29E61199" w:rsidR="00CA2C65" w:rsidRPr="00CA2C65" w:rsidRDefault="00CA2C65">
      <w:pPr>
        <w:pStyle w:val="standard"/>
      </w:pPr>
      <w:r w:rsidRPr="00CA2C65">
        <w:t xml:space="preserve">School demographic factors (percent free and reduced lunch and percent marginalized students of color) also made a difference in students’ learning but accounted for much less of the variance in student learning than teachers. This suggests that </w:t>
      </w:r>
      <w:r w:rsidRPr="00CA2C65">
        <w:rPr>
          <w:i/>
          <w:iCs/>
        </w:rPr>
        <w:t>demography is not destiny;</w:t>
      </w:r>
      <w:r w:rsidRPr="00CA2C65">
        <w:t xml:space="preserve"> working with schools to improve their curricular and assessment resources as well as their social infrastructures—policies, practices, and norms for professional communities—can support sustained improvement in </w:t>
      </w:r>
      <w:r w:rsidR="007179A0">
        <w:t>teachers</w:t>
      </w:r>
      <w:r w:rsidR="005410BA">
        <w:t>’ practices</w:t>
      </w:r>
      <w:r w:rsidR="007179A0">
        <w:t xml:space="preserve"> and in </w:t>
      </w:r>
      <w:r w:rsidRPr="00CA2C65">
        <w:t>student learning.</w:t>
      </w:r>
    </w:p>
    <w:p w14:paraId="424025D2" w14:textId="7A3DDADE" w:rsidR="006E6DA0" w:rsidRPr="006E6DA0" w:rsidRDefault="0090779B">
      <w:pPr>
        <w:pStyle w:val="standard"/>
      </w:pPr>
      <w:r>
        <w:rPr>
          <w:b/>
          <w:bCs/>
        </w:rPr>
        <w:lastRenderedPageBreak/>
        <w:t>Assessing two-way learning through iterative design cycles.</w:t>
      </w:r>
      <w:r>
        <w:t xml:space="preserve"> The third DBIR design goal focuses on how both researchers and school partners need to learn through iterative design cycles.</w:t>
      </w:r>
      <w:r w:rsidR="004F6827">
        <w:t xml:space="preserve"> We report on the nature of those iterative design cycles and what we learned from them in other publications. </w:t>
      </w:r>
      <w:r>
        <w:t xml:space="preserve"> </w:t>
      </w:r>
      <w:r w:rsidR="00E9198B">
        <w:t xml:space="preserve">Our findings indicate </w:t>
      </w:r>
      <w:r w:rsidR="002A04F0">
        <w:t>that student learning improved over time</w:t>
      </w:r>
      <w:r w:rsidR="00FF2B2A">
        <w:t xml:space="preserve">, though we cannot statistically distinguish between </w:t>
      </w:r>
      <w:r w:rsidR="004527F0">
        <w:t>the effects of improvements in curriculum and PD (i.e., researcher learning)</w:t>
      </w:r>
      <w:r w:rsidR="00AF7AC5">
        <w:t xml:space="preserve"> and learning </w:t>
      </w:r>
      <w:r w:rsidR="005410BA">
        <w:t>from</w:t>
      </w:r>
      <w:r w:rsidR="005410BA">
        <w:t xml:space="preserve"> </w:t>
      </w:r>
      <w:r w:rsidR="00AF7AC5">
        <w:t xml:space="preserve">experience by individual teachers. </w:t>
      </w:r>
      <w:r w:rsidR="006E6DA0" w:rsidRPr="006E6DA0">
        <w:t xml:space="preserve">Average learning gains for all students improved significantly across the first three years of the project. Individual teachers also improved their students’ learning across years as they gained experience through their second and third years of participation in the project. These data provide evidence that “learning…across scales of a system” (Penuel &amp; Fishman, 2012) can </w:t>
      </w:r>
      <w:r w:rsidR="007B630D">
        <w:t>occur</w:t>
      </w:r>
      <w:r w:rsidR="006E6DA0" w:rsidRPr="006E6DA0">
        <w:t xml:space="preserve">, and that the learning takes place through sustained, collective engagement in specific contexts. </w:t>
      </w:r>
    </w:p>
    <w:p w14:paraId="31F7C4ED" w14:textId="0BDC77CC" w:rsidR="006E6DA0" w:rsidRPr="006E6DA0" w:rsidRDefault="006E6DA0">
      <w:pPr>
        <w:pStyle w:val="standard"/>
      </w:pPr>
      <w:r w:rsidRPr="006E6DA0">
        <w:t xml:space="preserve">We note that administrators often value “flexibility” in teaching assignments, with teachers moving among different subjects or courses in response to </w:t>
      </w:r>
      <w:r w:rsidR="00C43D00">
        <w:t xml:space="preserve">student </w:t>
      </w:r>
      <w:r w:rsidRPr="006E6DA0">
        <w:t xml:space="preserve">demand or administrative priorities. Similarly, teachers value freedom to choose materials and activities that they like. Curriculum developers commonly work on tight timelines, with limited opportunities for observation, feedback, and revision. These data indicate that flexibility, freedom, and speedy development come with a price. Students, teachers, and organizations all benefit when they can work collectively with other professionals, when curricula and teaching assignments are stable, and when iterative revision cycles enable cumulative learning.  </w:t>
      </w:r>
    </w:p>
    <w:p w14:paraId="65C6484D" w14:textId="22B62508" w:rsidR="0002051A" w:rsidRDefault="007E5ED1">
      <w:pPr>
        <w:pStyle w:val="standard"/>
      </w:pPr>
      <w:r>
        <w:rPr>
          <w:b/>
        </w:rPr>
        <w:t>Add</w:t>
      </w:r>
      <w:r w:rsidR="008A4195">
        <w:rPr>
          <w:b/>
        </w:rPr>
        <w:t>i</w:t>
      </w:r>
      <w:r>
        <w:rPr>
          <w:b/>
        </w:rPr>
        <w:t>tional q</w:t>
      </w:r>
      <w:r w:rsidR="006E6DA0" w:rsidRPr="006E6DA0">
        <w:rPr>
          <w:b/>
        </w:rPr>
        <w:t xml:space="preserve">uestions to be investigated. </w:t>
      </w:r>
      <w:r w:rsidR="006E6DA0" w:rsidRPr="006E6DA0">
        <w:t>These quantitative findings lead to qualitative questions: How did teachers use the units and assessments to assess and scaffold their students’ engagement with phenomena? Why were some classrooms much more successful than others? How did teachers’ personal goals and perceptions of their students affect their use of</w:t>
      </w:r>
      <w:r w:rsidR="008E58FA">
        <w:t xml:space="preserve"> </w:t>
      </w:r>
      <w:r w:rsidR="006E6DA0" w:rsidRPr="006E6DA0">
        <w:rPr>
          <w:i/>
        </w:rPr>
        <w:t xml:space="preserve">Carbon </w:t>
      </w:r>
      <w:r w:rsidR="006E6DA0" w:rsidRPr="006E6DA0">
        <w:rPr>
          <w:i/>
        </w:rPr>
        <w:lastRenderedPageBreak/>
        <w:t>TIME</w:t>
      </w:r>
      <w:r w:rsidR="006E6DA0" w:rsidRPr="006E6DA0">
        <w:t>?</w:t>
      </w:r>
      <w:r w:rsidR="006E6DA0" w:rsidRPr="006E6DA0">
        <w:t xml:space="preserve"> How were teachers influenced by their schools’ professional norms, obligations, and resources? </w:t>
      </w:r>
    </w:p>
    <w:p w14:paraId="3DBC36ED" w14:textId="03B80B1A" w:rsidR="0048583E" w:rsidRDefault="00FA4977" w:rsidP="00503271">
      <w:pPr>
        <w:pStyle w:val="standard"/>
      </w:pPr>
      <w:r>
        <w:t xml:space="preserve">In this article we describe </w:t>
      </w:r>
      <w:r w:rsidR="0025435A">
        <w:t xml:space="preserve">the development of value-added measures that provide an important tool for these </w:t>
      </w:r>
      <w:r w:rsidR="000A0883">
        <w:t xml:space="preserve">qualitative investigations. Although these measures </w:t>
      </w:r>
      <w:r w:rsidR="00646AFF">
        <w:t>do not support precise distinctions between individual teachers</w:t>
      </w:r>
      <w:r w:rsidR="00652FAC">
        <w:t>,</w:t>
      </w:r>
      <w:r w:rsidR="003256D9">
        <w:t xml:space="preserve"> the measures are statistically robust </w:t>
      </w:r>
      <w:r w:rsidR="00B40FF5">
        <w:t xml:space="preserve">and can enable studies </w:t>
      </w:r>
      <w:r w:rsidR="00BC1F61">
        <w:t>that look for patterns of difference between classrooms with higher and lower student learning gains.</w:t>
      </w:r>
    </w:p>
    <w:p w14:paraId="181E4C83" w14:textId="4DF77A65" w:rsidR="00673C95" w:rsidRDefault="00431B67" w:rsidP="00673C95">
      <w:pPr>
        <w:pStyle w:val="standard"/>
      </w:pPr>
      <w:r>
        <w:t xml:space="preserve">Other articles being prepared for publication </w:t>
      </w:r>
      <w:r w:rsidR="0078541A">
        <w:t>report our findings from these investigations</w:t>
      </w:r>
      <w:r w:rsidR="006E6DA0" w:rsidRPr="006E6DA0">
        <w:t xml:space="preserve">. Analyses of classroom video data </w:t>
      </w:r>
      <w:r w:rsidR="006E6DA0" w:rsidRPr="006E6DA0">
        <w:t>show</w:t>
      </w:r>
      <w:r w:rsidR="006E6DA0" w:rsidRPr="006E6DA0">
        <w:t xml:space="preserve"> how the more successful teachers were able to use the project curriculum and assessments as tools for rigorous and responsive teaching (</w:t>
      </w:r>
      <w:proofErr w:type="spellStart"/>
      <w:r w:rsidR="006E6DA0" w:rsidRPr="006E6DA0">
        <w:t>Covitt</w:t>
      </w:r>
      <w:proofErr w:type="spellEnd"/>
      <w:r w:rsidR="006E6DA0" w:rsidRPr="006E6DA0">
        <w:t xml:space="preserve"> et al.,</w:t>
      </w:r>
      <w:r w:rsidR="006E6DA0" w:rsidRPr="006E6DA0">
        <w:t xml:space="preserve"> 2020). Analyses of teacher interview data showed how the practices of the more successful teachers are based on their commitments and perceptions of themselves, their students, and the project. The more successful teachers also described how their commitments and teaching skills improved over time, through their stable teaching assignments and sustained involvement in the project (</w:t>
      </w:r>
      <w:r w:rsidR="006E6DA0" w:rsidRPr="006E6DA0">
        <w:t>Morrison Thomas et al.,</w:t>
      </w:r>
      <w:r w:rsidR="006E6DA0" w:rsidRPr="006E6DA0">
        <w:t xml:space="preserve"> 2020). </w:t>
      </w:r>
      <w:r w:rsidR="00C43D00">
        <w:t>Abstracts of these articles are included in the online supplemental materials.</w:t>
      </w:r>
    </w:p>
    <w:p w14:paraId="094A978F" w14:textId="04BE6B12" w:rsidR="006E6DA0" w:rsidRPr="006E6DA0" w:rsidRDefault="006E6DA0" w:rsidP="00673C95">
      <w:pPr>
        <w:pStyle w:val="standard"/>
      </w:pPr>
      <w:r w:rsidRPr="006E6DA0">
        <w:t>Both additional analyses of data from this project and analyses from other DBIR pro</w:t>
      </w:r>
      <w:r w:rsidR="00DB00AD">
        <w:t>ject</w:t>
      </w:r>
      <w:r w:rsidRPr="006E6DA0">
        <w:t>s will be necessary to achieve the design and knowledge-building goals of this research and to support effective and equitable three-dimensional learning in our diverse educational systems.</w:t>
      </w:r>
      <w:r w:rsidR="00DB00AD">
        <w:t xml:space="preserve">  </w:t>
      </w:r>
      <w:r w:rsidR="00C73DF1">
        <w:t xml:space="preserve">We hope that these findings will contribute to this important </w:t>
      </w:r>
      <w:r w:rsidR="000004F0">
        <w:t xml:space="preserve">effort. </w:t>
      </w:r>
    </w:p>
    <w:p w14:paraId="73D8CD91" w14:textId="77777777" w:rsidR="004D3104" w:rsidRDefault="004D3104">
      <w:pPr>
        <w:rPr>
          <w:b/>
          <w:kern w:val="28"/>
        </w:rPr>
      </w:pPr>
      <w:r>
        <w:br w:type="page"/>
      </w:r>
    </w:p>
    <w:p w14:paraId="6E751FDC" w14:textId="08A9C435" w:rsidR="00EB7C19" w:rsidRPr="00D973BF" w:rsidRDefault="00EB7C19" w:rsidP="004D3104">
      <w:pPr>
        <w:pStyle w:val="Heading1"/>
      </w:pPr>
      <w:bookmarkStart w:id="46" w:name="_Toc67662799"/>
      <w:bookmarkStart w:id="47" w:name="_Toc71207822"/>
      <w:r w:rsidRPr="00D973BF">
        <w:lastRenderedPageBreak/>
        <w:t>References</w:t>
      </w:r>
      <w:bookmarkEnd w:id="46"/>
      <w:bookmarkEnd w:id="47"/>
    </w:p>
    <w:p w14:paraId="6C301F47" w14:textId="57E3B9F1" w:rsidR="00EA2562" w:rsidRPr="00F44547" w:rsidRDefault="002A0CEA" w:rsidP="00265E7D">
      <w:pPr>
        <w:ind w:left="720" w:hanging="720"/>
        <w:contextualSpacing/>
        <w:mirrorIndents/>
        <w:rPr>
          <w:rStyle w:val="Hyperlink"/>
          <w:rFonts w:eastAsiaTheme="minorEastAsia"/>
          <w:color w:val="auto"/>
          <w:u w:val="none"/>
        </w:rPr>
      </w:pPr>
      <w:r w:rsidRPr="00D973BF">
        <w:rPr>
          <w:rFonts w:cs="Arial"/>
          <w:szCs w:val="22"/>
        </w:rPr>
        <w:t xml:space="preserve">Aaronson, D., Barrow, L., &amp; Sander, W. (2007). Teachers and student achievement in the Chicago public high schools. Journal of Labor Economics, 25(1), 95–135. </w:t>
      </w:r>
      <w:hyperlink r:id="rId23" w:history="1">
        <w:r w:rsidRPr="00D973BF">
          <w:rPr>
            <w:rStyle w:val="Hyperlink"/>
            <w:rFonts w:eastAsiaTheme="minorEastAsia" w:cs="Arial"/>
            <w:szCs w:val="22"/>
          </w:rPr>
          <w:t>https://doi.org/10.1086/508733</w:t>
        </w:r>
      </w:hyperlink>
    </w:p>
    <w:p w14:paraId="13F1EF5D" w14:textId="3D21327D" w:rsidR="00ED5FF3" w:rsidRPr="00D973BF" w:rsidRDefault="00ED5FF3" w:rsidP="00ED5FF3">
      <w:pPr>
        <w:ind w:left="720" w:hanging="720"/>
        <w:contextualSpacing/>
        <w:mirrorIndents/>
        <w:rPr>
          <w:rFonts w:eastAsiaTheme="minorEastAsia" w:cs="Arial"/>
          <w:color w:val="0000FF"/>
          <w:szCs w:val="22"/>
          <w:u w:val="single"/>
        </w:rPr>
      </w:pPr>
      <w:r w:rsidRPr="00265E7D">
        <w:rPr>
          <w:rFonts w:cs="Arial"/>
          <w:szCs w:val="22"/>
        </w:rPr>
        <w:t>ACT</w:t>
      </w:r>
      <w:r w:rsidR="004A3603">
        <w:rPr>
          <w:rFonts w:cs="Arial"/>
          <w:szCs w:val="22"/>
        </w:rPr>
        <w:t>.</w:t>
      </w:r>
      <w:r w:rsidRPr="00265E7D">
        <w:rPr>
          <w:rFonts w:cs="Arial"/>
          <w:szCs w:val="22"/>
        </w:rPr>
        <w:t xml:space="preserve"> (2016) The Condition of College and Career Readiness 2015</w:t>
      </w:r>
      <w:r w:rsidR="003510BF" w:rsidRPr="00265E7D">
        <w:rPr>
          <w:rFonts w:cs="Arial"/>
          <w:szCs w:val="22"/>
        </w:rPr>
        <w:t xml:space="preserve">. Retrieved from: </w:t>
      </w:r>
      <w:hyperlink r:id="rId24" w:history="1">
        <w:r w:rsidR="003510BF" w:rsidRPr="000B54AC">
          <w:rPr>
            <w:rStyle w:val="Hyperlink"/>
            <w:rFonts w:eastAsiaTheme="minorEastAsia" w:cs="Arial"/>
            <w:szCs w:val="22"/>
          </w:rPr>
          <w:t>https://www.act.org/content/dam/act/unsecured/documents/Condition-of-College-and-Career-Readiness-Report-2015-United-States.pdf</w:t>
        </w:r>
      </w:hyperlink>
      <w:r w:rsidR="003510BF">
        <w:rPr>
          <w:rFonts w:eastAsiaTheme="minorEastAsia" w:cs="Arial"/>
          <w:color w:val="0000FF"/>
          <w:szCs w:val="22"/>
          <w:u w:val="single"/>
        </w:rPr>
        <w:t xml:space="preserve">. </w:t>
      </w:r>
      <w:r w:rsidRPr="00D973BF">
        <w:rPr>
          <w:rFonts w:eastAsiaTheme="minorEastAsia" w:cs="Arial"/>
          <w:color w:val="0000FF"/>
          <w:szCs w:val="22"/>
          <w:u w:val="single"/>
        </w:rPr>
        <w:t xml:space="preserve"> </w:t>
      </w:r>
    </w:p>
    <w:p w14:paraId="37AF797B" w14:textId="467D1CAE" w:rsidR="00BD11DD" w:rsidRPr="00F44547" w:rsidRDefault="00ED5FF3" w:rsidP="00421B04">
      <w:pPr>
        <w:ind w:left="720" w:hanging="720"/>
        <w:contextualSpacing/>
        <w:mirrorIndents/>
        <w:rPr>
          <w:rStyle w:val="Hyperlink"/>
          <w:rFonts w:eastAsiaTheme="minorEastAsia"/>
        </w:rPr>
      </w:pPr>
      <w:r w:rsidRPr="00265E7D">
        <w:rPr>
          <w:rFonts w:cs="Arial"/>
          <w:szCs w:val="22"/>
        </w:rPr>
        <w:t>ACT</w:t>
      </w:r>
      <w:r w:rsidR="004A3603">
        <w:rPr>
          <w:rFonts w:cs="Arial"/>
          <w:szCs w:val="22"/>
        </w:rPr>
        <w:t>.</w:t>
      </w:r>
      <w:r w:rsidRPr="00265E7D">
        <w:rPr>
          <w:rFonts w:cs="Arial"/>
          <w:szCs w:val="22"/>
        </w:rPr>
        <w:t xml:space="preserve"> (2020)</w:t>
      </w:r>
      <w:r w:rsidR="003510BF" w:rsidRPr="00265E7D">
        <w:rPr>
          <w:rFonts w:cs="Arial"/>
          <w:szCs w:val="22"/>
        </w:rPr>
        <w:t>.</w:t>
      </w:r>
      <w:r w:rsidRPr="00265E7D">
        <w:rPr>
          <w:rFonts w:cs="Arial"/>
          <w:szCs w:val="22"/>
        </w:rPr>
        <w:t xml:space="preserve"> The Condition of College and Career Readiness 2019.</w:t>
      </w:r>
      <w:r w:rsidR="003510BF" w:rsidRPr="00265E7D">
        <w:rPr>
          <w:rFonts w:cs="Arial"/>
          <w:szCs w:val="22"/>
        </w:rPr>
        <w:t xml:space="preserve"> Retrieved from:</w:t>
      </w:r>
      <w:r w:rsidR="00265E7D" w:rsidRPr="00265E7D">
        <w:rPr>
          <w:rFonts w:cs="Arial"/>
          <w:szCs w:val="22"/>
        </w:rPr>
        <w:t xml:space="preserve"> </w:t>
      </w:r>
      <w:r w:rsidR="00265E7D" w:rsidRPr="00265E7D">
        <w:rPr>
          <w:rFonts w:eastAsiaTheme="minorEastAsia" w:cs="Arial"/>
          <w:color w:val="0000FF"/>
          <w:szCs w:val="22"/>
          <w:u w:val="single"/>
        </w:rPr>
        <w:t>https://www.act.org/content/dam/act/unsecured/documents/National-CCCR-2019.pdf</w:t>
      </w:r>
      <w:r w:rsidR="00265E7D">
        <w:rPr>
          <w:rFonts w:eastAsiaTheme="minorEastAsia" w:cs="Arial"/>
          <w:color w:val="0000FF"/>
          <w:szCs w:val="22"/>
          <w:u w:val="single"/>
        </w:rPr>
        <w:t>.</w:t>
      </w:r>
    </w:p>
    <w:p w14:paraId="623A11B3" w14:textId="77777777" w:rsidR="00BD11DD" w:rsidRDefault="00BD11DD" w:rsidP="00BD11DD">
      <w:pPr>
        <w:ind w:left="720" w:hanging="720"/>
        <w:contextualSpacing/>
        <w:mirrorIndents/>
      </w:pPr>
      <w:r w:rsidRPr="00BD11DD">
        <w:t>Anderson, C.W. (</w:t>
      </w:r>
      <w:proofErr w:type="gramStart"/>
      <w:r w:rsidRPr="00BD11DD">
        <w:t>March,</w:t>
      </w:r>
      <w:proofErr w:type="gramEnd"/>
      <w:r w:rsidRPr="00BD11DD">
        <w:t xml:space="preserve"> 2010). Learning Progressions for Environmental Science Literacy.</w:t>
      </w:r>
      <w:r>
        <w:t xml:space="preserve"> </w:t>
      </w:r>
      <w:r w:rsidRPr="00BD11DD">
        <w:t>Paper prepared for the National Research Council Committee to Develop a</w:t>
      </w:r>
      <w:r>
        <w:t xml:space="preserve"> </w:t>
      </w:r>
      <w:r w:rsidRPr="00BD11DD">
        <w:t xml:space="preserve">Conceptual Framework to Guide K-12 Science Education Standards. Available: </w:t>
      </w:r>
      <w:hyperlink r:id="rId25" w:history="1">
        <w:r w:rsidRPr="00BD11DD">
          <w:rPr>
            <w:rStyle w:val="Hyperlink"/>
          </w:rPr>
          <w:t>http://</w:t>
        </w:r>
        <w:r w:rsidRPr="00613BD5">
          <w:rPr>
            <w:rStyle w:val="Hyperlink"/>
          </w:rPr>
          <w:t>www7.nationalacademies.org/bose/Anderson_Framework_Paper.pdf</w:t>
        </w:r>
      </w:hyperlink>
      <w:r>
        <w:t xml:space="preserve"> </w:t>
      </w:r>
    </w:p>
    <w:p w14:paraId="68C5F61D" w14:textId="77777777" w:rsidR="005936CD" w:rsidRPr="003510BF" w:rsidRDefault="005936CD" w:rsidP="00BD11DD">
      <w:pPr>
        <w:ind w:left="720" w:hanging="720"/>
        <w:contextualSpacing/>
        <w:mirrorIndents/>
        <w:rPr>
          <w:rFonts w:eastAsiaTheme="minorEastAsia" w:cs="Arial"/>
          <w:color w:val="0000FF"/>
          <w:szCs w:val="22"/>
          <w:u w:val="single"/>
        </w:rPr>
      </w:pPr>
      <w:r w:rsidRPr="000936E6">
        <w:t>Anderson, C. W. (2020, March). Introduction to the paper set: Teaching for science literacy at scale. Prepared for presentation at the annual meeting of the National Association for Research in Science Teaching.</w:t>
      </w:r>
    </w:p>
    <w:p w14:paraId="0D7F9A91" w14:textId="77777777" w:rsidR="005936CD" w:rsidRPr="00FD3937" w:rsidRDefault="005936CD" w:rsidP="005936CD">
      <w:pPr>
        <w:ind w:left="720" w:hanging="720"/>
        <w:contextualSpacing/>
        <w:mirrorIndents/>
        <w:rPr>
          <w:rStyle w:val="Hyperlink"/>
        </w:rPr>
      </w:pPr>
      <w:r w:rsidRPr="00FD3937">
        <w:t xml:space="preserve">Anderson, C. W., de los Santos, E. X., </w:t>
      </w:r>
      <w:proofErr w:type="spellStart"/>
      <w:r w:rsidRPr="00FD3937">
        <w:t>Bodbyl</w:t>
      </w:r>
      <w:proofErr w:type="spellEnd"/>
      <w:r w:rsidRPr="00FD3937">
        <w:t xml:space="preserve">, S., </w:t>
      </w:r>
      <w:proofErr w:type="spellStart"/>
      <w:r w:rsidRPr="00FD3937">
        <w:t>Covitt</w:t>
      </w:r>
      <w:proofErr w:type="spellEnd"/>
      <w:r w:rsidRPr="00FD3937">
        <w:t>, B. A., Edwards, K. D., Hancock, J. B., Lin, Q., Morrison Thomas, C.,</w:t>
      </w:r>
      <w:r w:rsidRPr="005936CD">
        <w:t xml:space="preserve"> Penuel, W. R., &amp; Welch, M. M. (2018). Designing educational systems to support enactment of the Next Generation Science Standards. Journal of Research in Science Teaching</w:t>
      </w:r>
      <w:r w:rsidRPr="005E7064">
        <w:t xml:space="preserve">, 55(7), 1026–1052. </w:t>
      </w:r>
      <w:hyperlink r:id="rId26" w:history="1">
        <w:r w:rsidRPr="00FD3937">
          <w:rPr>
            <w:rStyle w:val="Hyperlink"/>
          </w:rPr>
          <w:t>https://doi.org</w:t>
        </w:r>
        <w:r w:rsidRPr="005936CD">
          <w:rPr>
            <w:rStyle w:val="Hyperlink"/>
          </w:rPr>
          <w:t>/10.1002/tea.21484</w:t>
        </w:r>
      </w:hyperlink>
    </w:p>
    <w:p w14:paraId="3B5AEF20" w14:textId="77777777" w:rsidR="005936CD" w:rsidRPr="00FD3937" w:rsidRDefault="005936CD" w:rsidP="005936CD">
      <w:pPr>
        <w:ind w:left="720" w:hanging="720"/>
        <w:contextualSpacing/>
        <w:mirrorIndents/>
      </w:pPr>
      <w:proofErr w:type="spellStart"/>
      <w:r w:rsidRPr="00FD3937">
        <w:t>Banilower</w:t>
      </w:r>
      <w:proofErr w:type="spellEnd"/>
      <w:r w:rsidRPr="00FD3937">
        <w:t>, E. R., Smith, P. S., Malzahn, K. A., Plumley, C. L., Gordon, E. M., &amp; Hayes, M. L. (2018). Report of the 2018 NSSME+. Horizon Research, Inc.</w:t>
      </w:r>
      <w:r w:rsidRPr="005936CD">
        <w:t xml:space="preserve"> </w:t>
      </w:r>
      <w:hyperlink r:id="rId27" w:history="1">
        <w:r w:rsidRPr="005936CD">
          <w:rPr>
            <w:rStyle w:val="Hyperlink"/>
          </w:rPr>
          <w:t>http://horizon-research.com/NSSME/2018-nssme/research-products/reports/technical-report</w:t>
        </w:r>
      </w:hyperlink>
      <w:r w:rsidRPr="00FD3937">
        <w:t xml:space="preserve"> </w:t>
      </w:r>
    </w:p>
    <w:p w14:paraId="2A9484FB" w14:textId="77777777" w:rsidR="005936CD" w:rsidRPr="00D973BF" w:rsidRDefault="005936CD" w:rsidP="005936CD">
      <w:pPr>
        <w:ind w:left="720" w:hanging="720"/>
        <w:contextualSpacing/>
        <w:mirrorIndents/>
      </w:pPr>
      <w:r w:rsidRPr="00FD3937">
        <w:t xml:space="preserve">Ben-Porath, Yoram. (1967). The Production of Human Capital and the </w:t>
      </w:r>
      <w:proofErr w:type="gramStart"/>
      <w:r w:rsidRPr="00FD3937">
        <w:t>Life-Cycle</w:t>
      </w:r>
      <w:proofErr w:type="gramEnd"/>
      <w:r w:rsidRPr="00FD3937">
        <w:t xml:space="preserve"> of Earnings. Journal of Political Economy, 75(4), 352–365.</w:t>
      </w:r>
    </w:p>
    <w:p w14:paraId="1EBE494F" w14:textId="77777777" w:rsidR="005936CD" w:rsidRPr="00D973BF" w:rsidRDefault="005936CD" w:rsidP="005936CD">
      <w:pPr>
        <w:ind w:left="720" w:hanging="720"/>
        <w:contextualSpacing/>
        <w:mirrorIndents/>
        <w:rPr>
          <w:rStyle w:val="Hyperlink"/>
        </w:rPr>
      </w:pPr>
      <w:proofErr w:type="spellStart"/>
      <w:r w:rsidRPr="00D973BF">
        <w:t>Bibler</w:t>
      </w:r>
      <w:proofErr w:type="spellEnd"/>
      <w:r w:rsidRPr="00D973BF">
        <w:t xml:space="preserve">, A., </w:t>
      </w:r>
      <w:proofErr w:type="spellStart"/>
      <w:r w:rsidRPr="00D973BF">
        <w:t>Vosters</w:t>
      </w:r>
      <w:proofErr w:type="spellEnd"/>
      <w:r w:rsidRPr="00D973BF">
        <w:t xml:space="preserve">, K. N., Guarino, C., Wooldridge, J. M., </w:t>
      </w:r>
      <w:proofErr w:type="spellStart"/>
      <w:r w:rsidRPr="00D973BF">
        <w:t>Reckase</w:t>
      </w:r>
      <w:proofErr w:type="spellEnd"/>
      <w:r w:rsidRPr="00D973BF">
        <w:t xml:space="preserve">, M. (2014). Precision for Policy: Calculating Standard Errors in Value-Added Models. Association for Public Policy Analysis &amp; Management. </w:t>
      </w:r>
      <w:hyperlink r:id="rId28" w:history="1">
        <w:r w:rsidRPr="00D973BF">
          <w:rPr>
            <w:rStyle w:val="Hyperlink"/>
          </w:rPr>
          <w:t>https://appam.confex.com/appam/2014/webprogram/Paper11279.html</w:t>
        </w:r>
      </w:hyperlink>
    </w:p>
    <w:p w14:paraId="050F110D" w14:textId="77777777" w:rsidR="005936CD" w:rsidRPr="00FD3937" w:rsidRDefault="005936CD" w:rsidP="005936CD">
      <w:pPr>
        <w:ind w:left="720" w:hanging="720"/>
        <w:contextualSpacing/>
        <w:mirrorIndents/>
      </w:pPr>
      <w:r w:rsidRPr="00FD3937">
        <w:t xml:space="preserve">Bryk, A. </w:t>
      </w:r>
      <w:proofErr w:type="spellStart"/>
      <w:proofErr w:type="gramStart"/>
      <w:r w:rsidRPr="00FD3937">
        <w:t>S.,Gomez</w:t>
      </w:r>
      <w:proofErr w:type="spellEnd"/>
      <w:proofErr w:type="gramEnd"/>
      <w:r w:rsidRPr="00FD3937">
        <w:t>, L., M.,</w:t>
      </w:r>
      <w:proofErr w:type="spellStart"/>
      <w:r w:rsidRPr="00FD3937">
        <w:t>Grunow</w:t>
      </w:r>
      <w:proofErr w:type="spellEnd"/>
      <w:r w:rsidRPr="00FD3937">
        <w:t>, A., &amp;LeMahieu, P., G. (2015). Learning to improve: How America's schools can get better at getting</w:t>
      </w:r>
      <w:r w:rsidRPr="005936CD">
        <w:t xml:space="preserve"> better. Cambridge, MA: Harvard Univer</w:t>
      </w:r>
      <w:r w:rsidRPr="005E7064">
        <w:t>sity Press.</w:t>
      </w:r>
    </w:p>
    <w:p w14:paraId="2E0DDFCA" w14:textId="77777777" w:rsidR="005936CD" w:rsidRPr="00FD3937" w:rsidRDefault="005936CD" w:rsidP="005936CD">
      <w:pPr>
        <w:ind w:left="720" w:hanging="720"/>
        <w:contextualSpacing/>
        <w:mirrorIndents/>
      </w:pPr>
      <w:r w:rsidRPr="008D36A0">
        <w:t>Chetty, R</w:t>
      </w:r>
      <w:r w:rsidRPr="00FD3937">
        <w:t>.</w:t>
      </w:r>
      <w:r w:rsidRPr="008D36A0">
        <w:t>, Friedman</w:t>
      </w:r>
      <w:r w:rsidRPr="00FD3937">
        <w:t xml:space="preserve"> J. N.</w:t>
      </w:r>
      <w:r w:rsidRPr="008D36A0">
        <w:t>,</w:t>
      </w:r>
      <w:r w:rsidRPr="00FD3937">
        <w:t xml:space="preserve"> &amp;</w:t>
      </w:r>
      <w:r w:rsidRPr="008D36A0">
        <w:t xml:space="preserve"> Rockoff</w:t>
      </w:r>
      <w:r w:rsidRPr="00FD3937">
        <w:t>, J. E</w:t>
      </w:r>
      <w:r w:rsidRPr="008D36A0">
        <w:t>.</w:t>
      </w:r>
      <w:r w:rsidRPr="00FD3937">
        <w:t xml:space="preserve"> (</w:t>
      </w:r>
      <w:r w:rsidRPr="008D36A0">
        <w:t>201</w:t>
      </w:r>
      <w:r w:rsidRPr="00FD3937">
        <w:t>1)</w:t>
      </w:r>
      <w:r w:rsidRPr="008D36A0">
        <w:t>. </w:t>
      </w:r>
      <w:r w:rsidRPr="00FD3937">
        <w:t>The Long-Term Impacts of Teachers: Teacher Value-Added and Student Outcomes in Adulthood (No. w17699). National Bureau of Economic Research. Retrieved from: http://www.equality-of-opportunity.org/assets/documents/teachers_wp.pdf</w:t>
      </w:r>
    </w:p>
    <w:p w14:paraId="654F0778" w14:textId="77777777" w:rsidR="005936CD" w:rsidRPr="00FD3937" w:rsidRDefault="005936CD" w:rsidP="005936CD">
      <w:pPr>
        <w:ind w:left="720" w:hanging="720"/>
        <w:contextualSpacing/>
        <w:mirrorIndents/>
      </w:pPr>
      <w:bookmarkStart w:id="48" w:name="_Toc355254934"/>
      <w:r w:rsidRPr="00FD3937">
        <w:rPr>
          <w:rFonts w:hint="eastAsia"/>
        </w:rPr>
        <w:t>C</w:t>
      </w:r>
      <w:r w:rsidRPr="005936CD">
        <w:t>ohen, D. K.</w:t>
      </w:r>
      <w:r w:rsidRPr="005E7064">
        <w:t xml:space="preserve"> &amp; Mehta, J. D. (2017). Why reform sometimes succeeds: Understanding the conditions that produce reforms that last. American Educational </w:t>
      </w:r>
      <w:r w:rsidRPr="00FD3937">
        <w:t>Research Journal, 54(4), 644</w:t>
      </w:r>
      <w:r w:rsidRPr="00FD3937">
        <w:softHyphen/>
        <w:t>–690. https://doi.org/10.3102/0002831217700078</w:t>
      </w:r>
    </w:p>
    <w:bookmarkEnd w:id="48"/>
    <w:p w14:paraId="735972F5" w14:textId="77777777" w:rsidR="005936CD" w:rsidRPr="00FD3937" w:rsidRDefault="005936CD" w:rsidP="005936CD">
      <w:pPr>
        <w:ind w:left="720" w:hanging="720"/>
        <w:contextualSpacing/>
        <w:mirrorIndents/>
      </w:pPr>
      <w:proofErr w:type="spellStart"/>
      <w:r w:rsidRPr="00FD3937">
        <w:t>Covitt</w:t>
      </w:r>
      <w:proofErr w:type="spellEnd"/>
      <w:r w:rsidRPr="00FD3937">
        <w:t xml:space="preserve">, B. A., &amp; Anderson, C. W. (2018). Assessing scientific genres of explanation, argument, and prediction.  In A. L. Bailey, C. Maher, &amp; L. Wilkinson (Eds.) </w:t>
      </w:r>
      <w:r w:rsidRPr="005936CD">
        <w:rPr>
          <w:bCs/>
        </w:rPr>
        <w:t>Language, literacy, and learning in the STEM disciplines: How language counts for English learner</w:t>
      </w:r>
      <w:r w:rsidRPr="005E7064">
        <w:rPr>
          <w:bCs/>
        </w:rPr>
        <w:t>s, pp. 206-230</w:t>
      </w:r>
      <w:r w:rsidRPr="00FD3937">
        <w:rPr>
          <w:bCs/>
        </w:rPr>
        <w:t>.</w:t>
      </w:r>
      <w:r w:rsidRPr="00FD3937">
        <w:t xml:space="preserve"> New York, NY: Routledge.</w:t>
      </w:r>
    </w:p>
    <w:p w14:paraId="3FC16490" w14:textId="77777777" w:rsidR="001A57CC" w:rsidRDefault="005936CD" w:rsidP="001A57CC">
      <w:pPr>
        <w:ind w:left="720" w:hanging="720"/>
        <w:contextualSpacing/>
        <w:mirrorIndents/>
      </w:pPr>
      <w:proofErr w:type="spellStart"/>
      <w:r w:rsidRPr="00C15B61">
        <w:lastRenderedPageBreak/>
        <w:t>Covitt</w:t>
      </w:r>
      <w:proofErr w:type="spellEnd"/>
      <w:r w:rsidRPr="00C15B61">
        <w:t>, B. A., Morrison Thomas, C., Lin, Q., de los Santos, E. X., &amp; Anderson, C. W. (2020, March).</w:t>
      </w:r>
      <w:hyperlink r:id="rId29" w:tgtFrame="_blank" w:history="1">
        <w:r w:rsidRPr="00C15B61">
          <w:rPr>
            <w:rStyle w:val="Hyperlink"/>
          </w:rPr>
          <w:br/>
        </w:r>
        <w:r w:rsidRPr="00C15B61">
          <w:rPr>
            <w:rStyle w:val="Hyperlink"/>
            <w:i/>
            <w:iCs/>
          </w:rPr>
          <w:t>Carbon TIME</w:t>
        </w:r>
        <w:r w:rsidRPr="00C15B61">
          <w:rPr>
            <w:rStyle w:val="Hyperlink"/>
          </w:rPr>
          <w:t> classroom discourse and its connections to student learning</w:t>
        </w:r>
      </w:hyperlink>
      <w:r w:rsidRPr="00C15B61">
        <w:t>. Annual meeting of the National Association for Research in Science Teaching, Portland, OR. (Conference canceled)</w:t>
      </w:r>
    </w:p>
    <w:p w14:paraId="7A158E3E" w14:textId="4F18B259" w:rsidR="001A57CC" w:rsidRPr="00FD3937" w:rsidRDefault="001A57CC" w:rsidP="001A57CC">
      <w:pPr>
        <w:ind w:left="720" w:hanging="720"/>
        <w:contextualSpacing/>
        <w:mirrorIndents/>
        <w:rPr>
          <w:rFonts w:hint="eastAsia"/>
        </w:rPr>
      </w:pPr>
      <w:proofErr w:type="spellStart"/>
      <w:r>
        <w:rPr>
          <w:color w:val="000000"/>
        </w:rPr>
        <w:t>Covitt</w:t>
      </w:r>
      <w:proofErr w:type="spellEnd"/>
      <w:r>
        <w:rPr>
          <w:color w:val="000000"/>
        </w:rPr>
        <w:t>, B. A., Morrison Thomas, C., Lin, Q., de los Santos, E. X., &amp; Anderson, C. W. (in</w:t>
      </w:r>
      <w:r>
        <w:rPr>
          <w:rStyle w:val="apple-converted-space"/>
          <w:color w:val="000000"/>
        </w:rPr>
        <w:t> </w:t>
      </w:r>
      <w:r>
        <w:rPr>
          <w:color w:val="000000"/>
        </w:rPr>
        <w:t>preparation).</w:t>
      </w:r>
      <w:r w:rsidRPr="001A57CC">
        <w:t> </w:t>
      </w:r>
      <w:r w:rsidRPr="001A57CC">
        <w:rPr>
          <w:color w:val="000000"/>
        </w:rPr>
        <w:t>Carbon TIME</w:t>
      </w:r>
      <w:r w:rsidRPr="001A57CC">
        <w:t> </w:t>
      </w:r>
      <w:r>
        <w:rPr>
          <w:color w:val="000000"/>
        </w:rPr>
        <w:t>classroom discourse and its connections to student learning. A previous version of this article was prepared for presentation at the annual meeting of the National Association for Research</w:t>
      </w:r>
      <w:r>
        <w:rPr>
          <w:rStyle w:val="apple-converted-space"/>
          <w:color w:val="000000"/>
        </w:rPr>
        <w:t> </w:t>
      </w:r>
      <w:r>
        <w:rPr>
          <w:color w:val="000000"/>
        </w:rPr>
        <w:t>in</w:t>
      </w:r>
      <w:r>
        <w:rPr>
          <w:rStyle w:val="apple-converted-space"/>
          <w:color w:val="000000"/>
        </w:rPr>
        <w:t> </w:t>
      </w:r>
      <w:r>
        <w:rPr>
          <w:color w:val="000000"/>
        </w:rPr>
        <w:t>Science Teaching.</w:t>
      </w:r>
    </w:p>
    <w:p w14:paraId="6B049653" w14:textId="77777777" w:rsidR="005936CD" w:rsidRPr="00FD3937" w:rsidRDefault="005936CD" w:rsidP="005936CD">
      <w:pPr>
        <w:ind w:left="720" w:hanging="720"/>
        <w:contextualSpacing/>
        <w:mirrorIndents/>
        <w:rPr>
          <w:rStyle w:val="Hyperlink"/>
        </w:rPr>
      </w:pPr>
      <w:r w:rsidRPr="00FD3937">
        <w:t xml:space="preserve">Darling-Hammond, L. (2004). Inequality and the Right to Learn: Access to Qualified Teachers in California’s Public Schools. </w:t>
      </w:r>
      <w:r w:rsidRPr="005936CD">
        <w:t xml:space="preserve">Teachers College Record, </w:t>
      </w:r>
      <w:r w:rsidRPr="005E7064">
        <w:t xml:space="preserve">106(10), 1936–1966. </w:t>
      </w:r>
      <w:hyperlink r:id="rId30" w:history="1">
        <w:r w:rsidRPr="005936CD">
          <w:rPr>
            <w:rStyle w:val="Hyperlink"/>
          </w:rPr>
          <w:t>https://doi.org/10.1111/j.1467-9620.2004.00422.x</w:t>
        </w:r>
      </w:hyperlink>
    </w:p>
    <w:p w14:paraId="0220A921" w14:textId="77777777" w:rsidR="005936CD" w:rsidRPr="00FD3937" w:rsidRDefault="005936CD" w:rsidP="005936CD">
      <w:pPr>
        <w:ind w:left="720" w:hanging="720"/>
        <w:contextualSpacing/>
        <w:mirrorIndents/>
      </w:pPr>
      <w:r w:rsidRPr="00FD3937">
        <w:t xml:space="preserve">Dauer, J., Doherty, J., Freed, A., and Anderson, C. W. (2014). Connections between student explanations and inquiry for plant photosynthesis and cellular respiration. </w:t>
      </w:r>
      <w:r w:rsidRPr="005936CD">
        <w:t>CBE: Life Sciences Education</w:t>
      </w:r>
      <w:r w:rsidRPr="00FD3937">
        <w:t>, 13, 397–409.</w:t>
      </w:r>
    </w:p>
    <w:p w14:paraId="3A051721" w14:textId="77777777" w:rsidR="005936CD" w:rsidRPr="00D973BF" w:rsidRDefault="005936CD" w:rsidP="005936CD">
      <w:pPr>
        <w:ind w:left="720" w:hanging="720"/>
        <w:contextualSpacing/>
        <w:mirrorIndents/>
      </w:pPr>
      <w:r w:rsidRPr="00FD3937">
        <w:t xml:space="preserve">Dauer, J., Miller, H. &amp; Anderson, C. W. (2014). Conservation of energy: An analytical tool for student accounts of carbon-transforming processes. In R. Chen, A. </w:t>
      </w:r>
      <w:proofErr w:type="spellStart"/>
      <w:r w:rsidRPr="00FD3937">
        <w:t>Eisenkraft</w:t>
      </w:r>
      <w:proofErr w:type="spellEnd"/>
      <w:r w:rsidRPr="00FD3937">
        <w:t xml:space="preserve">, D. </w:t>
      </w:r>
      <w:proofErr w:type="spellStart"/>
      <w:r w:rsidRPr="00FD3937">
        <w:t>Fortus</w:t>
      </w:r>
      <w:proofErr w:type="spellEnd"/>
      <w:r w:rsidRPr="00FD3937">
        <w:t xml:space="preserve">, J. </w:t>
      </w:r>
      <w:proofErr w:type="spellStart"/>
      <w:r w:rsidRPr="00FD3937">
        <w:t>Krajcik</w:t>
      </w:r>
      <w:proofErr w:type="spellEnd"/>
      <w:r w:rsidRPr="00FD3937">
        <w:t xml:space="preserve">, K. Neumann &amp; A. </w:t>
      </w:r>
      <w:proofErr w:type="spellStart"/>
      <w:r w:rsidRPr="00FD3937">
        <w:t>Scheff</w:t>
      </w:r>
      <w:proofErr w:type="spellEnd"/>
      <w:r w:rsidRPr="00FD3937">
        <w:t xml:space="preserve"> (</w:t>
      </w:r>
      <w:r w:rsidRPr="005936CD">
        <w:t xml:space="preserve">Eds.), Teaching and Learning of Energy in K-12 Education, </w:t>
      </w:r>
      <w:r w:rsidRPr="00FD3937">
        <w:t>pages 47–66. New York: Springer.</w:t>
      </w:r>
    </w:p>
    <w:p w14:paraId="7055130C" w14:textId="77777777" w:rsidR="005936CD" w:rsidRPr="00FD3937" w:rsidRDefault="005936CD" w:rsidP="005936CD">
      <w:pPr>
        <w:ind w:left="720" w:hanging="720"/>
        <w:contextualSpacing/>
        <w:mirrorIndents/>
      </w:pPr>
      <w:r w:rsidRPr="00FD3937">
        <w:t xml:space="preserve">Doherty, J. H., Draney, K., Shin, H. J., Kim, J. H., &amp; Anderson, C. W. (2015). Validation of a learning progression-based monitoring assessment. Michigan State University: </w:t>
      </w:r>
      <w:hyperlink r:id="rId31" w:history="1">
        <w:r w:rsidRPr="005936CD">
          <w:rPr>
            <w:rStyle w:val="Hyperlink"/>
          </w:rPr>
          <w:t>http://media.bscs.org/carbontime/files/CarbonTIMEAssessmentValidation.pdf</w:t>
        </w:r>
      </w:hyperlink>
      <w:r w:rsidRPr="00FD3937">
        <w:rPr>
          <w:rFonts w:ascii="Arial" w:hAnsi="Arial" w:cs="Arial"/>
        </w:rPr>
        <w:t>.</w:t>
      </w:r>
    </w:p>
    <w:p w14:paraId="438C8CED" w14:textId="598F1213" w:rsidR="005936CD" w:rsidRDefault="005936CD" w:rsidP="005936CD">
      <w:pPr>
        <w:ind w:left="720" w:hanging="720"/>
        <w:contextualSpacing/>
        <w:mirrorIndents/>
      </w:pPr>
      <w:proofErr w:type="spellStart"/>
      <w:r w:rsidRPr="00FD3937">
        <w:rPr>
          <w:rFonts w:hint="eastAsia"/>
        </w:rPr>
        <w:t>D</w:t>
      </w:r>
      <w:r w:rsidRPr="00FD3937">
        <w:t>olle</w:t>
      </w:r>
      <w:proofErr w:type="spellEnd"/>
      <w:r w:rsidRPr="00FD3937">
        <w:t>, J. R., Gomez, L. M., Russell</w:t>
      </w:r>
      <w:r w:rsidRPr="005936CD">
        <w:t xml:space="preserve">, J. L., &amp; </w:t>
      </w:r>
      <w:r w:rsidRPr="005E7064">
        <w:t xml:space="preserve">Bryk, A. S. (2013). More than a network: Building </w:t>
      </w:r>
      <w:r w:rsidRPr="00FD3937">
        <w:t xml:space="preserve">professional communities for educational improvement. National Society for the Study of Education Yearbook, 112(2), 443–463. </w:t>
      </w:r>
    </w:p>
    <w:p w14:paraId="60B547D4" w14:textId="73654374" w:rsidR="00F56B01" w:rsidRPr="00FD3937" w:rsidRDefault="004D1DB8" w:rsidP="005936CD">
      <w:pPr>
        <w:ind w:left="720" w:hanging="720"/>
        <w:contextualSpacing/>
        <w:mirrorIndents/>
      </w:pPr>
      <w:proofErr w:type="spellStart"/>
      <w:r>
        <w:rPr>
          <w:rFonts w:hint="eastAsia"/>
        </w:rPr>
        <w:t>E</w:t>
      </w:r>
      <w:r>
        <w:t>dBuild</w:t>
      </w:r>
      <w:proofErr w:type="spellEnd"/>
      <w:r>
        <w:t xml:space="preserve"> Report. (2009). </w:t>
      </w:r>
      <w:r w:rsidR="002D0E5F">
        <w:t xml:space="preserve">$23 </w:t>
      </w:r>
      <w:r w:rsidR="005818FA">
        <w:t>b</w:t>
      </w:r>
      <w:r w:rsidR="002D0E5F">
        <w:t xml:space="preserve">illion. </w:t>
      </w:r>
      <w:r>
        <w:t xml:space="preserve">Retrieved from: </w:t>
      </w:r>
      <w:hyperlink r:id="rId32" w:history="1">
        <w:r w:rsidR="00B00519" w:rsidRPr="00050C84">
          <w:rPr>
            <w:rStyle w:val="Hyperlink"/>
          </w:rPr>
          <w:t>https://edbuild.org/content/23-billion/full-report.pdf</w:t>
        </w:r>
      </w:hyperlink>
      <w:r w:rsidR="00B00519">
        <w:t xml:space="preserve">. </w:t>
      </w:r>
      <w:r>
        <w:t xml:space="preserve"> </w:t>
      </w:r>
    </w:p>
    <w:p w14:paraId="4ED3A12D" w14:textId="02AD6F2E" w:rsidR="00CF2212" w:rsidRPr="00CF2212" w:rsidRDefault="00CF2212" w:rsidP="00CF2212">
      <w:pPr>
        <w:ind w:left="720" w:hanging="720"/>
        <w:contextualSpacing/>
        <w:mirrorIndents/>
      </w:pPr>
      <w:r w:rsidRPr="00CF2212">
        <w:t xml:space="preserve">Fishman, B., Penuel, W., Allen, A. R., Cheng, B., &amp; </w:t>
      </w:r>
      <w:proofErr w:type="spellStart"/>
      <w:r w:rsidRPr="00CF2212">
        <w:t>Sabelli</w:t>
      </w:r>
      <w:proofErr w:type="spellEnd"/>
      <w:r w:rsidRPr="00CF2212">
        <w:t>, N. O. R. A. (2013). Design-based implementation research: An emerging model for transforming the relationship of research and practice. </w:t>
      </w:r>
      <w:r w:rsidRPr="00CF2212">
        <w:rPr>
          <w:i/>
          <w:iCs/>
        </w:rPr>
        <w:t>Teachers College Record</w:t>
      </w:r>
      <w:r w:rsidRPr="00CF2212">
        <w:t>, </w:t>
      </w:r>
      <w:r w:rsidRPr="00CF2212">
        <w:rPr>
          <w:i/>
          <w:iCs/>
        </w:rPr>
        <w:t>115</w:t>
      </w:r>
      <w:r w:rsidRPr="00CF2212">
        <w:t>(14), 136</w:t>
      </w:r>
      <w:r w:rsidR="00454CF3">
        <w:t>–</w:t>
      </w:r>
      <w:r w:rsidRPr="00CF2212">
        <w:t>156.</w:t>
      </w:r>
    </w:p>
    <w:p w14:paraId="0AC89DD6" w14:textId="77777777" w:rsidR="005936CD" w:rsidRPr="00FD3937" w:rsidRDefault="005936CD" w:rsidP="005936CD">
      <w:pPr>
        <w:ind w:left="720" w:hanging="720"/>
        <w:contextualSpacing/>
        <w:mirrorIndents/>
      </w:pPr>
      <w:r w:rsidRPr="00FD3937">
        <w:t xml:space="preserve">Frank, K. A. (1998). Chapter 5: Quantitative Methods for Studying Social Context in </w:t>
      </w:r>
      <w:proofErr w:type="spellStart"/>
      <w:r w:rsidRPr="00FD3937">
        <w:t>Multilevels</w:t>
      </w:r>
      <w:proofErr w:type="spellEnd"/>
      <w:r w:rsidRPr="00FD3937">
        <w:t xml:space="preserve"> and Through Int</w:t>
      </w:r>
      <w:r w:rsidRPr="005936CD">
        <w:t>erpersonal Relations. Review of Research in Education</w:t>
      </w:r>
      <w:r w:rsidRPr="005E7064">
        <w:t xml:space="preserve">, 23(1), 171–216. </w:t>
      </w:r>
      <w:hyperlink r:id="rId33" w:history="1">
        <w:r w:rsidRPr="005936CD">
          <w:rPr>
            <w:rStyle w:val="Hyperlink"/>
          </w:rPr>
          <w:t>https://doi.org/10.3102/0091732X023001171</w:t>
        </w:r>
      </w:hyperlink>
    </w:p>
    <w:p w14:paraId="4D5BD290" w14:textId="77777777" w:rsidR="005936CD" w:rsidRPr="00FD3937" w:rsidRDefault="005936CD" w:rsidP="005936CD">
      <w:pPr>
        <w:ind w:left="720" w:hanging="720"/>
        <w:contextualSpacing/>
        <w:mirrorIndents/>
      </w:pPr>
      <w:r w:rsidRPr="00FD3937">
        <w:t xml:space="preserve">Frank, K.A., </w:t>
      </w:r>
      <w:proofErr w:type="spellStart"/>
      <w:r w:rsidRPr="00FD3937">
        <w:t>Maroulis</w:t>
      </w:r>
      <w:proofErr w:type="spellEnd"/>
      <w:r w:rsidRPr="00FD3937">
        <w:t xml:space="preserve">, S., Duong, M., and </w:t>
      </w:r>
      <w:proofErr w:type="spellStart"/>
      <w:r w:rsidRPr="00FD3937">
        <w:t>Kelcey</w:t>
      </w:r>
      <w:proofErr w:type="spellEnd"/>
      <w:r w:rsidRPr="00FD3937">
        <w:t xml:space="preserve">, B. (2013). What would it take to change an inference? Using Rubin’s causal model to interpret the robustness of causal inferences. Education, Evaluation and Policy Analysis, 35, 437–460. </w:t>
      </w:r>
      <w:hyperlink r:id="rId34" w:history="1">
        <w:r w:rsidRPr="00FD3937">
          <w:rPr>
            <w:rStyle w:val="Hyperlink"/>
          </w:rPr>
          <w:t>https://doi.org/10.3102/0162373713493129</w:t>
        </w:r>
      </w:hyperlink>
    </w:p>
    <w:p w14:paraId="56A9C483" w14:textId="77777777" w:rsidR="005936CD" w:rsidRPr="00FD3937" w:rsidRDefault="005936CD" w:rsidP="005936CD">
      <w:pPr>
        <w:ind w:left="720" w:hanging="720"/>
        <w:contextualSpacing/>
        <w:mirrorIndents/>
      </w:pPr>
      <w:r w:rsidRPr="00FD3937">
        <w:rPr>
          <w:rFonts w:hint="eastAsia"/>
        </w:rPr>
        <w:t>F</w:t>
      </w:r>
      <w:r w:rsidRPr="00FD3937">
        <w:t xml:space="preserve">rank, K. A. (2000). Impact of a Confounding Variable on the Inference of a Regression Coefficient. Sociological Methods and Research, 29(1), 147–194. </w:t>
      </w:r>
      <w:hyperlink r:id="rId35" w:history="1">
        <w:r w:rsidRPr="00FD3937">
          <w:rPr>
            <w:rStyle w:val="Hyperlink"/>
          </w:rPr>
          <w:t>https://doi.org/10.1177/0049124100029002001</w:t>
        </w:r>
      </w:hyperlink>
    </w:p>
    <w:p w14:paraId="454AEFF8" w14:textId="21CAF50A" w:rsidR="005936CD" w:rsidRPr="00D973BF" w:rsidRDefault="005936CD" w:rsidP="005936CD">
      <w:pPr>
        <w:ind w:left="720" w:hanging="720"/>
        <w:contextualSpacing/>
        <w:mirrorIndents/>
      </w:pPr>
      <w:proofErr w:type="spellStart"/>
      <w:r w:rsidRPr="00FD3937">
        <w:t>Furtak</w:t>
      </w:r>
      <w:proofErr w:type="spellEnd"/>
      <w:r w:rsidRPr="00FD3937">
        <w:t>, E. M., &amp; Penuel, W. R. (2019). Coming to terms: Addressing the persistence of “hands‐on” and othe</w:t>
      </w:r>
      <w:r w:rsidRPr="005936CD">
        <w:t>r reform terminology in the era of science as practice. Science Education</w:t>
      </w:r>
      <w:r w:rsidRPr="00FD3937">
        <w:t>, 103(1), 167–186. https://doi.org/10.1002/sce.21488</w:t>
      </w:r>
    </w:p>
    <w:p w14:paraId="6453FF32" w14:textId="69921388" w:rsidR="005936CD" w:rsidRPr="00FD3937" w:rsidRDefault="005936CD" w:rsidP="005936CD">
      <w:pPr>
        <w:ind w:left="720" w:hanging="720"/>
        <w:contextualSpacing/>
        <w:mirrorIndents/>
      </w:pPr>
      <w:r w:rsidRPr="00FD3937">
        <w:t xml:space="preserve">Gee, J. P. (2005). Language in the science classroom: Academic social languages as the heart of school-based literacy. In Establishing Scientific Classroom Discourse Communities: Multiple Voices of Teaching and Learning Research (pp. 19–37). </w:t>
      </w:r>
      <w:proofErr w:type="spellStart"/>
      <w:r w:rsidRPr="00FD3937">
        <w:t>Routledge.Goldman</w:t>
      </w:r>
      <w:proofErr w:type="spellEnd"/>
      <w:r w:rsidRPr="00FD3937">
        <w:t xml:space="preserve">, S. </w:t>
      </w:r>
      <w:r w:rsidRPr="00FD3937">
        <w:lastRenderedPageBreak/>
        <w:t xml:space="preserve">R., Greenleaf, C., </w:t>
      </w:r>
      <w:proofErr w:type="spellStart"/>
      <w:r w:rsidRPr="00FD3937">
        <w:t>Yukhymenko-Lescroart</w:t>
      </w:r>
      <w:proofErr w:type="spellEnd"/>
      <w:r w:rsidRPr="00FD3937">
        <w:t xml:space="preserve">, M., Brown, W., Ko, M. L. M., </w:t>
      </w:r>
      <w:proofErr w:type="spellStart"/>
      <w:r w:rsidRPr="00FD3937">
        <w:t>Emig</w:t>
      </w:r>
      <w:proofErr w:type="spellEnd"/>
      <w:r w:rsidRPr="00FD3937">
        <w:t xml:space="preserve">, J. M., </w:t>
      </w:r>
      <w:r w:rsidRPr="005936CD">
        <w:t xml:space="preserve">George, M., Wallace, P., </w:t>
      </w:r>
      <w:proofErr w:type="spellStart"/>
      <w:r w:rsidRPr="005936CD">
        <w:t>Blaum</w:t>
      </w:r>
      <w:proofErr w:type="spellEnd"/>
      <w:r w:rsidRPr="005936CD">
        <w:t>, D.</w:t>
      </w:r>
      <w:r w:rsidRPr="00FD3937">
        <w:t xml:space="preserve">&amp; Britt, M. A. (2019). Explanatory modeling in science through text-based investigation: Testing the efficacy of the Project READI intervention approach. American Educational Research Journal, 56(4), 1148–1216. </w:t>
      </w:r>
      <w:hyperlink r:id="rId36" w:history="1">
        <w:r w:rsidRPr="005936CD">
          <w:rPr>
            <w:rStyle w:val="Hyperlink"/>
          </w:rPr>
          <w:t>https://doi-org.proxy.uchicago.edu/10.3102/0002831219831041</w:t>
        </w:r>
      </w:hyperlink>
    </w:p>
    <w:p w14:paraId="057216E1" w14:textId="77777777" w:rsidR="005936CD" w:rsidRPr="00FD3937" w:rsidRDefault="005936CD" w:rsidP="005936CD">
      <w:pPr>
        <w:ind w:left="720" w:hanging="720"/>
        <w:contextualSpacing/>
        <w:mirrorIndents/>
      </w:pPr>
      <w:r w:rsidRPr="00FD3937">
        <w:t xml:space="preserve">Greenberg, E., </w:t>
      </w:r>
      <w:proofErr w:type="spellStart"/>
      <w:r w:rsidRPr="00FD3937">
        <w:t>Blagg</w:t>
      </w:r>
      <w:proofErr w:type="spellEnd"/>
      <w:r w:rsidRPr="00FD3937">
        <w:t>, K., &amp; Rainer, M. (2019). Measuring Student Poverty: Developing Accurate Counts for School Funding, Accountability, an</w:t>
      </w:r>
      <w:r w:rsidRPr="005936CD">
        <w:t xml:space="preserve">d Research. Research Report. </w:t>
      </w:r>
      <w:r w:rsidRPr="00FD3937">
        <w:t xml:space="preserve">Urban Institute. </w:t>
      </w:r>
    </w:p>
    <w:p w14:paraId="04E476EE" w14:textId="77777777" w:rsidR="005936CD" w:rsidRPr="00FD3937" w:rsidRDefault="005936CD" w:rsidP="005936CD">
      <w:pPr>
        <w:ind w:left="720" w:hanging="720"/>
        <w:contextualSpacing/>
        <w:mirrorIndents/>
      </w:pPr>
      <w:r w:rsidRPr="00FD3937">
        <w:t>Grigg, J., Kelly, K. A., Gamoran, A., &amp; Borman, G. D. (2013). Effects of two scientific inquiry professional development interventions on teaching practice. </w:t>
      </w:r>
      <w:r w:rsidRPr="005936CD">
        <w:t>Educational evaluation and</w:t>
      </w:r>
      <w:r w:rsidRPr="00843C52">
        <w:rPr>
          <w:highlight w:val="yellow"/>
        </w:rPr>
        <w:t xml:space="preserve"> </w:t>
      </w:r>
      <w:r w:rsidRPr="00FD3937">
        <w:t>policy analysis</w:t>
      </w:r>
      <w:r w:rsidRPr="005936CD">
        <w:t>, 35</w:t>
      </w:r>
      <w:r w:rsidRPr="005E7064">
        <w:t>(1), 38–</w:t>
      </w:r>
      <w:r w:rsidRPr="00FD3937">
        <w:t>56. https://doi-org.proxy.uchicago.edu/10.3102/0162373712461851</w:t>
      </w:r>
    </w:p>
    <w:p w14:paraId="4BB33CFC" w14:textId="77777777" w:rsidR="005936CD" w:rsidRPr="00FD3937" w:rsidRDefault="005936CD" w:rsidP="005936CD">
      <w:pPr>
        <w:ind w:left="720" w:hanging="720"/>
        <w:contextualSpacing/>
        <w:mirrorIndents/>
      </w:pPr>
      <w:r w:rsidRPr="00FD3937">
        <w:t xml:space="preserve">Guarino, C. M., </w:t>
      </w:r>
      <w:proofErr w:type="spellStart"/>
      <w:r w:rsidRPr="00FD3937">
        <w:t>Reckase</w:t>
      </w:r>
      <w:proofErr w:type="spellEnd"/>
      <w:r w:rsidRPr="00FD3937">
        <w:t xml:space="preserve">, M. D., &amp; Wooldridge, J. M. (2014). Can value-added measures of teacher performance be trusted? Education Finance and Policy. 10(1), 117–156. </w:t>
      </w:r>
      <w:hyperlink r:id="rId37" w:history="1">
        <w:r w:rsidRPr="00FD3937">
          <w:rPr>
            <w:rStyle w:val="Hyperlink"/>
          </w:rPr>
          <w:t>https://doi.org/10.1162/EDFP_a_00153</w:t>
        </w:r>
      </w:hyperlink>
    </w:p>
    <w:p w14:paraId="3637760D" w14:textId="77777777" w:rsidR="005936CD" w:rsidRPr="00FD3937" w:rsidRDefault="005936CD" w:rsidP="005936CD">
      <w:pPr>
        <w:ind w:left="720" w:hanging="720"/>
        <w:contextualSpacing/>
        <w:mirrorIndents/>
      </w:pPr>
      <w:r w:rsidRPr="00FD3937">
        <w:t>Hanushek, Eric A. (1979). Conceptual and Empirical Issues in the Estimation of Educational Production Functions. The Journal of Human Resources, 14(3), 351–388.</w:t>
      </w:r>
    </w:p>
    <w:p w14:paraId="08B896C9" w14:textId="77777777" w:rsidR="005936CD" w:rsidRPr="00FD3937" w:rsidRDefault="005936CD" w:rsidP="005936CD">
      <w:pPr>
        <w:ind w:left="720" w:hanging="720"/>
        <w:contextualSpacing/>
        <w:mirrorIndents/>
      </w:pPr>
      <w:r w:rsidRPr="00FD3937">
        <w:t xml:space="preserve">Hanushek, E. A., &amp; Rivkin, S. G. (2010). Generalizations about using value-added measures of teacher quality. The American Economic Review, 100(2), 267–271. </w:t>
      </w:r>
      <w:hyperlink r:id="rId38" w:history="1">
        <w:r w:rsidRPr="00FD3937">
          <w:rPr>
            <w:rStyle w:val="Hyperlink"/>
          </w:rPr>
          <w:t>https://doi.org/10.1257/aer.100.2.267</w:t>
        </w:r>
      </w:hyperlink>
      <w:r w:rsidRPr="00FD3937">
        <w:t xml:space="preserve"> </w:t>
      </w:r>
    </w:p>
    <w:p w14:paraId="2C7D4A21" w14:textId="77777777" w:rsidR="005936CD" w:rsidRPr="00FD3937" w:rsidRDefault="005936CD" w:rsidP="005936CD">
      <w:pPr>
        <w:ind w:left="720" w:hanging="720"/>
        <w:contextualSpacing/>
        <w:mirrorIndents/>
      </w:pPr>
      <w:r w:rsidRPr="00FD3937">
        <w:t xml:space="preserve">Harris, D. N. (2009). Teacher value-added: Don’t end the search before it starts. Journal of Policy Analysis and Management, 28(4), 693–699. </w:t>
      </w:r>
      <w:hyperlink r:id="rId39" w:history="1">
        <w:r w:rsidRPr="00FD3937">
          <w:rPr>
            <w:rStyle w:val="Hyperlink"/>
          </w:rPr>
          <w:t>https://doi.org/10.1002/pam.20464</w:t>
        </w:r>
      </w:hyperlink>
    </w:p>
    <w:p w14:paraId="5D9194CD" w14:textId="77777777" w:rsidR="005936CD" w:rsidRPr="00FD3937" w:rsidRDefault="005936CD" w:rsidP="005936CD">
      <w:pPr>
        <w:ind w:left="720" w:hanging="720"/>
        <w:contextualSpacing/>
        <w:mirrorIndents/>
      </w:pPr>
      <w:r w:rsidRPr="00FD3937">
        <w:t>Heath, S. B. (1983). Ways with Words: Language, Life and Work in Communities and Classrooms. Cambridge University Press.</w:t>
      </w:r>
    </w:p>
    <w:p w14:paraId="35065AE2" w14:textId="77777777" w:rsidR="005936CD" w:rsidRPr="00FD3937" w:rsidRDefault="005936CD" w:rsidP="005936CD">
      <w:pPr>
        <w:ind w:left="720" w:hanging="720"/>
        <w:contextualSpacing/>
        <w:mirrorIndents/>
        <w:rPr>
          <w:rStyle w:val="Hyperlink"/>
        </w:rPr>
      </w:pPr>
      <w:r w:rsidRPr="00FD3937">
        <w:t xml:space="preserve">Hill, H. C., </w:t>
      </w:r>
      <w:proofErr w:type="spellStart"/>
      <w:r w:rsidRPr="00FD3937">
        <w:t>Kapitula</w:t>
      </w:r>
      <w:proofErr w:type="spellEnd"/>
      <w:r w:rsidRPr="00FD3937">
        <w:t xml:space="preserve">, L., &amp; Umland, K. (2011). A validity argument approach to evaluating teacher value-added scores. American Educational Research Journal, 48(3), 794–831. </w:t>
      </w:r>
      <w:hyperlink r:id="rId40" w:history="1">
        <w:r w:rsidRPr="00FD3937">
          <w:rPr>
            <w:rStyle w:val="Hyperlink"/>
          </w:rPr>
          <w:t>https://doi.org/10.3102/0002831210387916</w:t>
        </w:r>
      </w:hyperlink>
    </w:p>
    <w:p w14:paraId="49E4CC80" w14:textId="77777777" w:rsidR="005936CD" w:rsidRPr="00FD3937" w:rsidRDefault="005936CD" w:rsidP="005936CD">
      <w:pPr>
        <w:ind w:left="720" w:hanging="720"/>
        <w:contextualSpacing/>
        <w:mirrorIndents/>
      </w:pPr>
      <w:r w:rsidRPr="00FD3937">
        <w:t>Jac</w:t>
      </w:r>
      <w:r w:rsidRPr="005936CD">
        <w:t>ob,</w:t>
      </w:r>
      <w:r w:rsidRPr="005E7064">
        <w:t xml:space="preserve"> B., </w:t>
      </w:r>
      <w:proofErr w:type="spellStart"/>
      <w:r w:rsidRPr="005E7064">
        <w:t>Dynarski</w:t>
      </w:r>
      <w:proofErr w:type="spellEnd"/>
      <w:r w:rsidRPr="00FD3937">
        <w:t>, S., Frank, K., Schneider, B. (2017) Are Expectations Alone Enough? Estimating the Effect of a Mandatory College-Prep Curriculum in Michigan. Educational Evaluation and Policy Analysis. 39(2), 333–360. https://doi:10.3102/0162373716685823</w:t>
      </w:r>
    </w:p>
    <w:p w14:paraId="74750D15" w14:textId="77777777" w:rsidR="001879C3" w:rsidRDefault="001879C3" w:rsidP="001879C3">
      <w:pPr>
        <w:ind w:left="720" w:hanging="720"/>
        <w:contextualSpacing/>
        <w:mirrorIndents/>
      </w:pPr>
      <w:r w:rsidRPr="001879C3">
        <w:t>Jackson, K., &amp;Cobb, P. (2013). Coordinating professional development across contexts and role group. In M. Evans (Ed.), Teacher</w:t>
      </w:r>
      <w:r>
        <w:t xml:space="preserve"> </w:t>
      </w:r>
      <w:r w:rsidRPr="001879C3">
        <w:t>education and pedagogy: Theory, policy and practice (pp. 80–99). New York, NY: Cambridge University Press.</w:t>
      </w:r>
    </w:p>
    <w:p w14:paraId="69862E74" w14:textId="77777777" w:rsidR="005936CD" w:rsidRPr="00FD3937" w:rsidRDefault="005936CD" w:rsidP="001879C3">
      <w:pPr>
        <w:ind w:left="720" w:hanging="720"/>
        <w:contextualSpacing/>
        <w:mirrorIndents/>
      </w:pPr>
      <w:proofErr w:type="spellStart"/>
      <w:r w:rsidRPr="00FD3937">
        <w:t>Jin</w:t>
      </w:r>
      <w:proofErr w:type="spellEnd"/>
      <w:r w:rsidRPr="00FD3937">
        <w:t>, H., and Ander</w:t>
      </w:r>
      <w:r w:rsidRPr="005936CD">
        <w:t>son, C. W. (2012). A learning progression for energy in socio-ecological systems.</w:t>
      </w:r>
      <w:r w:rsidRPr="00FD3937">
        <w:t xml:space="preserve"> Journal of Research in Science Teaching, 49(9), 1149–1180. </w:t>
      </w:r>
      <w:hyperlink r:id="rId41" w:history="1">
        <w:r w:rsidRPr="005936CD">
          <w:rPr>
            <w:rStyle w:val="Hyperlink"/>
          </w:rPr>
          <w:t>https://doi.org/10.1002/tea.21051</w:t>
        </w:r>
      </w:hyperlink>
    </w:p>
    <w:p w14:paraId="7FDA8787" w14:textId="77777777" w:rsidR="005936CD" w:rsidRPr="00FD3937" w:rsidRDefault="005936CD" w:rsidP="005936CD">
      <w:pPr>
        <w:ind w:left="720" w:hanging="720"/>
        <w:contextualSpacing/>
        <w:mirrorIndents/>
      </w:pPr>
      <w:r w:rsidRPr="00FD3937">
        <w:t xml:space="preserve">Johnson, S. M., Kraft, M. A., &amp; </w:t>
      </w:r>
      <w:proofErr w:type="spellStart"/>
      <w:r w:rsidRPr="00FD3937">
        <w:t>Papay</w:t>
      </w:r>
      <w:proofErr w:type="spellEnd"/>
      <w:r w:rsidRPr="00FD3937">
        <w:t xml:space="preserve">, J. P. (2012). How context matters in high-need schools: The effects of teachers’ working conditions on their professional satisfaction and their students’ achievement. Teachers College Record. 114(10), 1–39.  </w:t>
      </w:r>
    </w:p>
    <w:p w14:paraId="7D8E4784" w14:textId="4F1DABD8" w:rsidR="005936CD" w:rsidRPr="00FD3937" w:rsidRDefault="005936CD" w:rsidP="005936CD">
      <w:pPr>
        <w:ind w:left="720" w:hanging="720"/>
        <w:contextualSpacing/>
        <w:mirrorIndents/>
        <w:rPr>
          <w:rFonts w:cs="Arial"/>
        </w:rPr>
      </w:pPr>
      <w:r w:rsidRPr="00FD3937">
        <w:rPr>
          <w:rFonts w:cs="Arial"/>
        </w:rPr>
        <w:t xml:space="preserve">Kang, H., Thompson, J., &amp; </w:t>
      </w:r>
      <w:proofErr w:type="spellStart"/>
      <w:r w:rsidRPr="00FD3937">
        <w:rPr>
          <w:rFonts w:cs="Arial"/>
        </w:rPr>
        <w:t>Windschitl</w:t>
      </w:r>
      <w:proofErr w:type="spellEnd"/>
      <w:r w:rsidRPr="00FD3937">
        <w:rPr>
          <w:rFonts w:cs="Arial"/>
        </w:rPr>
        <w:t>, M. (2014). Creating opportunities for students to show what they know: The role of scaffolding in assessment tasks. </w:t>
      </w:r>
      <w:r w:rsidRPr="005936CD">
        <w:rPr>
          <w:rFonts w:cs="Arial"/>
        </w:rPr>
        <w:t>Science Education, </w:t>
      </w:r>
      <w:r w:rsidRPr="005E7064">
        <w:rPr>
          <w:rFonts w:cs="Arial"/>
        </w:rPr>
        <w:t>98(4), 674</w:t>
      </w:r>
      <w:r w:rsidRPr="00FD3937">
        <w:rPr>
          <w:rFonts w:cs="Arial"/>
        </w:rPr>
        <w:t xml:space="preserve">–704. </w:t>
      </w:r>
      <w:hyperlink r:id="rId42" w:history="1">
        <w:r w:rsidRPr="00843C52">
          <w:rPr>
            <w:rStyle w:val="Hyperlink"/>
            <w:rFonts w:cs="Arial"/>
          </w:rPr>
          <w:t>https://doi.org/10.1002/sce.21123</w:t>
        </w:r>
      </w:hyperlink>
    </w:p>
    <w:p w14:paraId="565A8E5C" w14:textId="77777777" w:rsidR="005936CD" w:rsidRPr="00FD3937" w:rsidRDefault="005936CD" w:rsidP="005936CD">
      <w:pPr>
        <w:ind w:left="720" w:hanging="720"/>
        <w:contextualSpacing/>
        <w:mirrorIndents/>
      </w:pPr>
      <w:proofErr w:type="spellStart"/>
      <w:r w:rsidRPr="00FD3937">
        <w:t>Kelderman</w:t>
      </w:r>
      <w:proofErr w:type="spellEnd"/>
      <w:r w:rsidRPr="00FD3937">
        <w:t>, H. (1988). Common Item Equating Using the Loglinear Rasc</w:t>
      </w:r>
      <w:r w:rsidRPr="005936CD">
        <w:t>h Model. Journal of Educational Statistics</w:t>
      </w:r>
      <w:r w:rsidRPr="005E7064">
        <w:t xml:space="preserve">, 13(4), 319–336. </w:t>
      </w:r>
      <w:hyperlink r:id="rId43" w:history="1">
        <w:r w:rsidRPr="005936CD">
          <w:rPr>
            <w:rStyle w:val="Hyperlink"/>
          </w:rPr>
          <w:t>https://doi.org/10.3102/10769986013004319</w:t>
        </w:r>
      </w:hyperlink>
    </w:p>
    <w:p w14:paraId="6B143F8D" w14:textId="77777777" w:rsidR="005936CD" w:rsidRPr="00D973BF" w:rsidRDefault="005936CD" w:rsidP="005936CD">
      <w:pPr>
        <w:ind w:left="720" w:hanging="720"/>
        <w:contextualSpacing/>
        <w:mirrorIndents/>
      </w:pPr>
      <w:r w:rsidRPr="00FD3937">
        <w:t xml:space="preserve">Ladson-Billings, G. (2009). The </w:t>
      </w:r>
      <w:proofErr w:type="spellStart"/>
      <w:r w:rsidRPr="00FD3937">
        <w:t>dreamkeepers</w:t>
      </w:r>
      <w:proofErr w:type="spellEnd"/>
      <w:r w:rsidRPr="00FD3937">
        <w:t>: Successful teachers of African American children. John Wiley &amp; Sons.</w:t>
      </w:r>
    </w:p>
    <w:p w14:paraId="0E13B873" w14:textId="0978784D" w:rsidR="005936CD" w:rsidRDefault="005936CD" w:rsidP="005936CD">
      <w:pPr>
        <w:ind w:left="720" w:hanging="720"/>
        <w:contextualSpacing/>
        <w:mirrorIndents/>
      </w:pPr>
      <w:r w:rsidRPr="00FD3937">
        <w:lastRenderedPageBreak/>
        <w:t>Lehrer,</w:t>
      </w:r>
      <w:r w:rsidRPr="005936CD">
        <w:t xml:space="preserve"> R., &amp; </w:t>
      </w:r>
      <w:proofErr w:type="spellStart"/>
      <w:r w:rsidRPr="005936CD">
        <w:t>Schauble</w:t>
      </w:r>
      <w:proofErr w:type="spellEnd"/>
      <w:r w:rsidRPr="005936CD">
        <w:t>, L. (2012). Seeding evolutionary thinking by engaging children in modeling its foundations. </w:t>
      </w:r>
      <w:r w:rsidRPr="00FD3937">
        <w:t xml:space="preserve">Science Education, 96(4), 701–724. </w:t>
      </w:r>
      <w:hyperlink r:id="rId44" w:history="1">
        <w:r w:rsidR="007F37A7" w:rsidRPr="000B54AC">
          <w:rPr>
            <w:rStyle w:val="Hyperlink"/>
          </w:rPr>
          <w:t>https://doi.org/10.1002/sce.20475</w:t>
        </w:r>
      </w:hyperlink>
    </w:p>
    <w:p w14:paraId="5D110C27" w14:textId="088C6CA9" w:rsidR="007F37A7" w:rsidRPr="00FD3937" w:rsidRDefault="007F37A7" w:rsidP="007F37A7">
      <w:pPr>
        <w:ind w:left="720" w:hanging="720"/>
        <w:contextualSpacing/>
        <w:mirrorIndents/>
      </w:pPr>
      <w:r w:rsidRPr="007F37A7">
        <w:t xml:space="preserve">Lumley, T., </w:t>
      </w:r>
      <w:proofErr w:type="spellStart"/>
      <w:r w:rsidRPr="007F37A7">
        <w:t>Diehr</w:t>
      </w:r>
      <w:proofErr w:type="spellEnd"/>
      <w:r w:rsidRPr="007F37A7">
        <w:t xml:space="preserve">, P., Emerson, S., &amp; Chen, L. (2002). The </w:t>
      </w:r>
      <w:r w:rsidR="00205243">
        <w:t>i</w:t>
      </w:r>
      <w:r w:rsidRPr="007F37A7">
        <w:t xml:space="preserve">mportance of the </w:t>
      </w:r>
      <w:r w:rsidR="00205243">
        <w:t>n</w:t>
      </w:r>
      <w:r w:rsidRPr="007F37A7">
        <w:t xml:space="preserve">ormality </w:t>
      </w:r>
      <w:r w:rsidR="00205243">
        <w:t>a</w:t>
      </w:r>
      <w:r w:rsidRPr="007F37A7">
        <w:t xml:space="preserve">ssumption in </w:t>
      </w:r>
      <w:r w:rsidR="00205243">
        <w:t>l</w:t>
      </w:r>
      <w:r w:rsidRPr="007F37A7">
        <w:t>arge</w:t>
      </w:r>
      <w:r w:rsidR="00205243">
        <w:t xml:space="preserve"> p</w:t>
      </w:r>
      <w:r w:rsidRPr="007F37A7">
        <w:t xml:space="preserve">ublic </w:t>
      </w:r>
      <w:r w:rsidR="00205243">
        <w:t>h</w:t>
      </w:r>
      <w:r w:rsidRPr="007F37A7">
        <w:t xml:space="preserve">ealth </w:t>
      </w:r>
      <w:r w:rsidR="00205243">
        <w:t>d</w:t>
      </w:r>
      <w:r w:rsidRPr="007F37A7">
        <w:t xml:space="preserve">ata </w:t>
      </w:r>
      <w:r w:rsidR="00205243">
        <w:t>s</w:t>
      </w:r>
      <w:r w:rsidRPr="007F37A7">
        <w:t>ets. Annual Review of Public Health, 23, 151</w:t>
      </w:r>
      <w:r w:rsidR="007331A8">
        <w:t>–</w:t>
      </w:r>
      <w:r w:rsidRPr="007F37A7">
        <w:t>169.</w:t>
      </w:r>
    </w:p>
    <w:p w14:paraId="5BB0FDD1" w14:textId="77777777" w:rsidR="00A3694E" w:rsidRPr="00A3694E" w:rsidRDefault="00A3694E" w:rsidP="00A3694E">
      <w:pPr>
        <w:ind w:left="720" w:hanging="720"/>
        <w:contextualSpacing/>
        <w:mirrorIndents/>
      </w:pPr>
      <w:proofErr w:type="spellStart"/>
      <w:r w:rsidRPr="00A3694E">
        <w:t>Mikeska</w:t>
      </w:r>
      <w:proofErr w:type="spellEnd"/>
      <w:r w:rsidRPr="00A3694E">
        <w:t xml:space="preserve">, J., Anderson, C. W., and Schwarz, C. V. (2009), Principled reasoning about problems of practice. </w:t>
      </w:r>
      <w:r w:rsidRPr="00A3694E">
        <w:rPr>
          <w:i/>
        </w:rPr>
        <w:t xml:space="preserve">Science Education, 93(4), </w:t>
      </w:r>
      <w:r w:rsidRPr="00A3694E">
        <w:rPr>
          <w:iCs/>
        </w:rPr>
        <w:t>678</w:t>
      </w:r>
      <w:r w:rsidR="00454CF3">
        <w:rPr>
          <w:iCs/>
        </w:rPr>
        <w:t>–</w:t>
      </w:r>
      <w:r w:rsidRPr="00A3694E">
        <w:rPr>
          <w:iCs/>
        </w:rPr>
        <w:t>686.</w:t>
      </w:r>
    </w:p>
    <w:p w14:paraId="3006276C" w14:textId="77777777" w:rsidR="005936CD" w:rsidRPr="00D973BF" w:rsidRDefault="005936CD" w:rsidP="005936CD">
      <w:pPr>
        <w:ind w:left="720" w:hanging="720"/>
        <w:contextualSpacing/>
        <w:mirrorIndents/>
      </w:pPr>
      <w:r w:rsidRPr="00FD3937">
        <w:t xml:space="preserve">Miller, H. K., &amp; Anderson, C. W. (2017). Using NGSS crosscutting concepts as a tool for climate change and citizenship education. In D. Shepardson, A. </w:t>
      </w:r>
      <w:proofErr w:type="spellStart"/>
      <w:r w:rsidRPr="00FD3937">
        <w:t>Roychoudhury</w:t>
      </w:r>
      <w:proofErr w:type="spellEnd"/>
      <w:r w:rsidRPr="00FD3937">
        <w:t>, and A. Hirsch (Eds.), Teaching and learning about climate change: A framework for educators (pp. 181–193). New York: Routledge.</w:t>
      </w:r>
    </w:p>
    <w:p w14:paraId="772334AB" w14:textId="77777777" w:rsidR="005936CD" w:rsidRPr="00FD3937" w:rsidRDefault="005936CD" w:rsidP="005936CD">
      <w:pPr>
        <w:ind w:left="720" w:hanging="720"/>
        <w:contextualSpacing/>
        <w:mirrorIndents/>
      </w:pPr>
      <w:r w:rsidRPr="00FD3937">
        <w:t xml:space="preserve">Mohan, L., Chen, J., and Anderson, C. W.  (2009). Developing a multi-year learning progression for carbon cycling in socio-ecological systems. </w:t>
      </w:r>
      <w:r w:rsidRPr="005936CD">
        <w:t>Journal of Research in Science Teaching, 46(6)</w:t>
      </w:r>
      <w:r w:rsidRPr="005E7064">
        <w:t xml:space="preserve">, 675–698. </w:t>
      </w:r>
      <w:hyperlink r:id="rId45" w:history="1">
        <w:r w:rsidRPr="005936CD">
          <w:rPr>
            <w:rStyle w:val="Hyperlink"/>
          </w:rPr>
          <w:t>https://doi.org/10.1002/tea.20314</w:t>
        </w:r>
      </w:hyperlink>
    </w:p>
    <w:p w14:paraId="7FA24676" w14:textId="77777777" w:rsidR="009A7DB6" w:rsidRDefault="005936CD" w:rsidP="009A7DB6">
      <w:pPr>
        <w:ind w:left="720" w:hanging="720"/>
        <w:contextualSpacing/>
        <w:mirrorIndents/>
      </w:pPr>
      <w:r w:rsidRPr="00FD3937">
        <w:t xml:space="preserve">Morrison Thomas, C., </w:t>
      </w:r>
      <w:proofErr w:type="spellStart"/>
      <w:r w:rsidRPr="00FD3937">
        <w:t>Covitt</w:t>
      </w:r>
      <w:proofErr w:type="spellEnd"/>
      <w:r w:rsidRPr="00FD3937">
        <w:t xml:space="preserve">, B. A., Lin, Q., Hancock, J. B., Marshall, S., &amp; Anderson, C. W. (2020, March). Carbon TIME teacher orientations and contexts: Making connections to classroom discourse and student learning. Annual meeting of the National Association for Research in Science Teaching, Portland, OR. (Conference canceled). </w:t>
      </w:r>
      <w:hyperlink r:id="rId46" w:history="1">
        <w:r w:rsidRPr="00FD3937">
          <w:rPr>
            <w:rStyle w:val="Hyperlink"/>
          </w:rPr>
          <w:t>https://carbontime.bscs.org/conference-presentations</w:t>
        </w:r>
      </w:hyperlink>
      <w:r w:rsidRPr="00FD3937">
        <w:t>.</w:t>
      </w:r>
    </w:p>
    <w:p w14:paraId="2E9925C1" w14:textId="38B6D67B" w:rsidR="009A7DB6" w:rsidRPr="009A7DB6" w:rsidRDefault="009A7DB6" w:rsidP="009A7DB6">
      <w:pPr>
        <w:ind w:left="720" w:hanging="720"/>
        <w:contextualSpacing/>
        <w:mirrorIndents/>
        <w:rPr>
          <w:rFonts w:hint="eastAsia"/>
        </w:rPr>
      </w:pPr>
      <w:r>
        <w:rPr>
          <w:color w:val="000000"/>
        </w:rPr>
        <w:t xml:space="preserve">Morrison Thomas, C., </w:t>
      </w:r>
      <w:proofErr w:type="spellStart"/>
      <w:r>
        <w:rPr>
          <w:color w:val="000000"/>
        </w:rPr>
        <w:t>Covitt</w:t>
      </w:r>
      <w:proofErr w:type="spellEnd"/>
      <w:r>
        <w:rPr>
          <w:color w:val="000000"/>
        </w:rPr>
        <w:t>, B. A., Lin, Q., Marshall, S., Hancock, J. B., &amp; Anderson, C. W. (in</w:t>
      </w:r>
      <w:r>
        <w:rPr>
          <w:rStyle w:val="apple-converted-space"/>
          <w:color w:val="000000"/>
        </w:rPr>
        <w:t> </w:t>
      </w:r>
      <w:r>
        <w:rPr>
          <w:color w:val="000000"/>
        </w:rPr>
        <w:t>preparation).</w:t>
      </w:r>
      <w:r w:rsidRPr="009A7DB6">
        <w:t> </w:t>
      </w:r>
      <w:r w:rsidRPr="009A7DB6">
        <w:rPr>
          <w:color w:val="000000"/>
        </w:rPr>
        <w:t>Carbon TIME</w:t>
      </w:r>
      <w:r w:rsidRPr="009A7DB6">
        <w:t> </w:t>
      </w:r>
      <w:r>
        <w:rPr>
          <w:color w:val="000000"/>
        </w:rPr>
        <w:t>teacher orientations and contexts: Making connections to classroom discourse and student learning. A previous version of this article was prepared for presentation at the annual meeting of the National Association for Research</w:t>
      </w:r>
      <w:r>
        <w:rPr>
          <w:rStyle w:val="apple-converted-space"/>
          <w:color w:val="000000"/>
        </w:rPr>
        <w:t> </w:t>
      </w:r>
      <w:r>
        <w:rPr>
          <w:color w:val="000000"/>
        </w:rPr>
        <w:t>in</w:t>
      </w:r>
      <w:r>
        <w:rPr>
          <w:rStyle w:val="apple-converted-space"/>
          <w:color w:val="000000"/>
        </w:rPr>
        <w:t> </w:t>
      </w:r>
      <w:r>
        <w:rPr>
          <w:color w:val="000000"/>
        </w:rPr>
        <w:t>Science Teaching.</w:t>
      </w:r>
    </w:p>
    <w:p w14:paraId="61A3C7EF" w14:textId="77777777" w:rsidR="005936CD" w:rsidRPr="00FD3937" w:rsidRDefault="005936CD" w:rsidP="005936CD">
      <w:pPr>
        <w:ind w:left="720" w:hanging="720"/>
        <w:contextualSpacing/>
        <w:mirrorIndents/>
      </w:pPr>
      <w:r w:rsidRPr="00FD3937">
        <w:t xml:space="preserve">Murphy, D. (2012). Where is the value in value-added </w:t>
      </w:r>
      <w:proofErr w:type="gramStart"/>
      <w:r w:rsidRPr="00FD3937">
        <w:t>modeling.</w:t>
      </w:r>
      <w:proofErr w:type="gramEnd"/>
      <w:r w:rsidRPr="00FD3937">
        <w:t xml:space="preserve"> (Pearson White Paper). Retrieved from the Pearson Education website: </w:t>
      </w:r>
      <w:hyperlink r:id="rId47" w:history="1">
        <w:r w:rsidRPr="00FD3937">
          <w:rPr>
            <w:rStyle w:val="Hyperlink"/>
          </w:rPr>
          <w:t>http://images.pearsonassessments.com/images/tmrs/Where_is_the_Value_in_Valu e-Added_Modeling.pdf</w:t>
        </w:r>
      </w:hyperlink>
    </w:p>
    <w:p w14:paraId="6339FE81" w14:textId="77777777" w:rsidR="005936CD" w:rsidRPr="00FD3937" w:rsidRDefault="005936CD" w:rsidP="005936CD">
      <w:pPr>
        <w:ind w:left="720" w:hanging="720"/>
        <w:contextualSpacing/>
        <w:mirrorIndents/>
      </w:pPr>
      <w:r w:rsidRPr="00FD3937">
        <w:t>National Research Council. (2007). </w:t>
      </w:r>
      <w:r w:rsidRPr="005936CD">
        <w:t>Taking science to school: Learning and teaching science in grades K-8</w:t>
      </w:r>
      <w:r w:rsidRPr="00FD3937">
        <w:t>. National Academies Press.</w:t>
      </w:r>
    </w:p>
    <w:p w14:paraId="67976791" w14:textId="56660E74" w:rsidR="00ED7816" w:rsidRPr="00ED7816" w:rsidRDefault="00ED7816" w:rsidP="00ED7816">
      <w:pPr>
        <w:ind w:left="720" w:hanging="720"/>
        <w:contextualSpacing/>
        <w:mirrorIndents/>
      </w:pPr>
      <w:r w:rsidRPr="00ED7816">
        <w:t>National Research Council. (2014). Developing assessments for the next generation science standards.</w:t>
      </w:r>
      <w:r w:rsidR="002E41DD">
        <w:t xml:space="preserve"> Washington, DC: </w:t>
      </w:r>
      <w:r w:rsidR="002E41DD" w:rsidRPr="000936E6">
        <w:t>National Academies Press.</w:t>
      </w:r>
    </w:p>
    <w:p w14:paraId="42E57D2B" w14:textId="14FA1BA7" w:rsidR="005936CD" w:rsidRPr="00FD3937" w:rsidRDefault="005936CD" w:rsidP="005936CD">
      <w:pPr>
        <w:ind w:left="720" w:hanging="720"/>
        <w:contextualSpacing/>
        <w:mirrorIndents/>
      </w:pPr>
      <w:r w:rsidRPr="00FD3937">
        <w:t>National Research Council. (2015). Guide to Implementing the Next Generation Science Standards.</w:t>
      </w:r>
      <w:r w:rsidR="002E41DD">
        <w:t xml:space="preserve"> Washington, DC: </w:t>
      </w:r>
      <w:r w:rsidR="002E41DD" w:rsidRPr="000936E6">
        <w:t>National Academies Press.</w:t>
      </w:r>
    </w:p>
    <w:p w14:paraId="78FFC072" w14:textId="75BE555C" w:rsidR="005936CD" w:rsidRPr="000936E6" w:rsidRDefault="005936CD" w:rsidP="005936CD">
      <w:pPr>
        <w:ind w:left="720" w:hanging="720"/>
        <w:contextualSpacing/>
        <w:mirrorIndents/>
      </w:pPr>
      <w:r w:rsidRPr="00FD3937">
        <w:t>National Research Council (201</w:t>
      </w:r>
      <w:r w:rsidRPr="005936CD">
        <w:t>8). </w:t>
      </w:r>
      <w:r w:rsidRPr="005E7064">
        <w:t xml:space="preserve">Science and engineering for grades 6-12: Investigation and </w:t>
      </w:r>
      <w:r w:rsidRPr="000936E6">
        <w:t xml:space="preserve">design at the center. </w:t>
      </w:r>
      <w:r w:rsidR="002E41DD">
        <w:t xml:space="preserve">Washington, DC: </w:t>
      </w:r>
      <w:r w:rsidRPr="000936E6">
        <w:t>National Academies Press.</w:t>
      </w:r>
    </w:p>
    <w:p w14:paraId="0686CFDA" w14:textId="77777777" w:rsidR="005936CD" w:rsidRPr="000936E6" w:rsidRDefault="005936CD" w:rsidP="005936CD">
      <w:pPr>
        <w:ind w:left="720" w:hanging="720"/>
        <w:contextualSpacing/>
        <w:mirrorIndents/>
      </w:pPr>
      <w:r w:rsidRPr="000936E6">
        <w:t xml:space="preserve">NGSS Lead States. (2013). Next Generation Science Standards: For states, by states. Washington, DC: National Academies Press. </w:t>
      </w:r>
      <w:hyperlink r:id="rId48" w:history="1">
        <w:r w:rsidRPr="000936E6">
          <w:rPr>
            <w:rStyle w:val="Hyperlink"/>
            <w:color w:val="auto"/>
          </w:rPr>
          <w:t>https://www.nextgenscience.org/</w:t>
        </w:r>
      </w:hyperlink>
    </w:p>
    <w:p w14:paraId="7CE08A2D" w14:textId="77777777" w:rsidR="005936CD" w:rsidRPr="000936E6" w:rsidRDefault="005936CD" w:rsidP="005936CD">
      <w:pPr>
        <w:ind w:left="720" w:hanging="720"/>
        <w:contextualSpacing/>
        <w:mirrorIndents/>
      </w:pPr>
      <w:r w:rsidRPr="000936E6">
        <w:t>NGSS Website (</w:t>
      </w:r>
      <w:proofErr w:type="gramStart"/>
      <w:r w:rsidRPr="000936E6">
        <w:t>September,</w:t>
      </w:r>
      <w:proofErr w:type="gramEnd"/>
      <w:r w:rsidRPr="000936E6">
        <w:t xml:space="preserve"> 2016). Using phenomena in NGSS-designed lessons and units. </w:t>
      </w:r>
      <w:proofErr w:type="spellStart"/>
      <w:r w:rsidRPr="000936E6">
        <w:t>Retreived</w:t>
      </w:r>
      <w:proofErr w:type="spellEnd"/>
      <w:r w:rsidRPr="000936E6">
        <w:t xml:space="preserve"> from </w:t>
      </w:r>
      <w:hyperlink r:id="rId49" w:history="1">
        <w:r w:rsidRPr="000936E6">
          <w:rPr>
            <w:rStyle w:val="Hyperlink"/>
            <w:color w:val="auto"/>
          </w:rPr>
          <w:t>http://nextgenscience.org/sites/default/files/Using%20Phenomena%20in%20NGSS.pdf</w:t>
        </w:r>
      </w:hyperlink>
    </w:p>
    <w:p w14:paraId="4D21D217" w14:textId="77777777" w:rsidR="005936CD" w:rsidRPr="00FD3937" w:rsidRDefault="005936CD" w:rsidP="005936CD">
      <w:pPr>
        <w:ind w:left="720" w:hanging="720"/>
        <w:contextualSpacing/>
        <w:mirrorIndents/>
      </w:pPr>
      <w:proofErr w:type="spellStart"/>
      <w:r w:rsidRPr="00FD3937">
        <w:t>OpenSciEd</w:t>
      </w:r>
      <w:proofErr w:type="spellEnd"/>
      <w:r w:rsidRPr="00FD3937">
        <w:t xml:space="preserve">. (2020). </w:t>
      </w:r>
      <w:proofErr w:type="spellStart"/>
      <w:r w:rsidRPr="00FD3937">
        <w:t>OpenScied</w:t>
      </w:r>
      <w:proofErr w:type="spellEnd"/>
      <w:r w:rsidRPr="00FD3937">
        <w:t xml:space="preserve"> Design Specifications. </w:t>
      </w:r>
      <w:hyperlink r:id="rId50" w:history="1">
        <w:r w:rsidRPr="00FD3937">
          <w:rPr>
            <w:rStyle w:val="Hyperlink"/>
          </w:rPr>
          <w:t>https://www.openscied.org/design-specifications/</w:t>
        </w:r>
      </w:hyperlink>
    </w:p>
    <w:p w14:paraId="25858C02" w14:textId="77777777" w:rsidR="005936CD" w:rsidRPr="00FD3937" w:rsidRDefault="005936CD" w:rsidP="005936CD">
      <w:pPr>
        <w:ind w:left="720" w:hanging="720"/>
        <w:contextualSpacing/>
        <w:mirrorIndents/>
        <w:rPr>
          <w:u w:val="single"/>
        </w:rPr>
      </w:pPr>
      <w:r w:rsidRPr="00FD3937">
        <w:lastRenderedPageBreak/>
        <w:t xml:space="preserve">Parsons, E. C., &amp; </w:t>
      </w:r>
      <w:proofErr w:type="spellStart"/>
      <w:r w:rsidRPr="00FD3937">
        <w:t>Carlone</w:t>
      </w:r>
      <w:proofErr w:type="spellEnd"/>
      <w:r w:rsidRPr="00FD3937">
        <w:t>, H. B. (2013). Culture and science education in the 21</w:t>
      </w:r>
      <w:r w:rsidRPr="00FD3937">
        <w:rPr>
          <w:vertAlign w:val="superscript"/>
        </w:rPr>
        <w:t>st</w:t>
      </w:r>
      <w:r w:rsidRPr="00FD3937">
        <w:t xml:space="preserve"> century: Extending and making the cultural box more inclusive. Journal of Research in Science Teaching, 50(1), 1–11. </w:t>
      </w:r>
      <w:hyperlink r:id="rId51" w:history="1">
        <w:r w:rsidRPr="00FD3937">
          <w:rPr>
            <w:rStyle w:val="Hyperlink"/>
          </w:rPr>
          <w:t>https://doi.org/10.1002/tea.21068</w:t>
        </w:r>
      </w:hyperlink>
    </w:p>
    <w:p w14:paraId="0F58DF6D" w14:textId="77777777" w:rsidR="005936CD" w:rsidRPr="00FD3937" w:rsidRDefault="005936CD" w:rsidP="005936CD">
      <w:pPr>
        <w:ind w:left="720" w:hanging="720"/>
        <w:contextualSpacing/>
        <w:mirrorIndents/>
      </w:pPr>
      <w:r w:rsidRPr="00FD3937">
        <w:t xml:space="preserve">Penuel, W. R. (2019). </w:t>
      </w:r>
      <w:proofErr w:type="spellStart"/>
      <w:r w:rsidRPr="00FD3937">
        <w:t>Infrastructuring</w:t>
      </w:r>
      <w:proofErr w:type="spellEnd"/>
      <w:r w:rsidRPr="00FD3937">
        <w:t xml:space="preserve"> as a practice of design-based research for supporting and studying equitable implementation and sustainability of innovations. </w:t>
      </w:r>
      <w:r w:rsidRPr="005936CD">
        <w:t>Journal of the Learning Sciences, </w:t>
      </w:r>
      <w:r w:rsidRPr="005E7064">
        <w:t xml:space="preserve">28(4–5), 659–677. </w:t>
      </w:r>
      <w:hyperlink r:id="rId52" w:history="1">
        <w:r w:rsidRPr="005936CD">
          <w:rPr>
            <w:rStyle w:val="Hyperlink"/>
          </w:rPr>
          <w:t>https://doi.org/10.1080/10508406.2018.1552151</w:t>
        </w:r>
      </w:hyperlink>
    </w:p>
    <w:p w14:paraId="5F802300" w14:textId="77777777" w:rsidR="005936CD" w:rsidRPr="00D973BF" w:rsidRDefault="005936CD" w:rsidP="005936CD">
      <w:pPr>
        <w:ind w:left="720" w:hanging="720"/>
        <w:contextualSpacing/>
        <w:mirrorIndents/>
      </w:pPr>
      <w:r w:rsidRPr="00FD3937">
        <w:t>Penuel, W. R., &amp; Fishman, B. J. (2012). Large-scale intervention research we can use. Journal of Research in Science Teaching, 49</w:t>
      </w:r>
      <w:r w:rsidRPr="005936CD">
        <w:t xml:space="preserve">(3), 281–304. </w:t>
      </w:r>
      <w:hyperlink r:id="rId53" w:history="1">
        <w:r w:rsidRPr="005936CD">
          <w:rPr>
            <w:rStyle w:val="Hyperlink"/>
          </w:rPr>
          <w:t>https://doi.org/10.1002/tea.21001</w:t>
        </w:r>
      </w:hyperlink>
    </w:p>
    <w:p w14:paraId="51CB9F00" w14:textId="77777777" w:rsidR="005936CD" w:rsidRPr="00D973BF" w:rsidRDefault="005936CD" w:rsidP="005936CD">
      <w:pPr>
        <w:ind w:left="720" w:hanging="720"/>
        <w:contextualSpacing/>
        <w:mirrorIndents/>
      </w:pPr>
      <w:r w:rsidRPr="00843C52">
        <w:t xml:space="preserve">Penuel, W. R., Fishman, B. J., </w:t>
      </w:r>
      <w:proofErr w:type="spellStart"/>
      <w:r w:rsidRPr="00843C52">
        <w:t>Haugan</w:t>
      </w:r>
      <w:proofErr w:type="spellEnd"/>
      <w:r w:rsidRPr="00843C52">
        <w:t xml:space="preserve"> Cheng, B., &amp; </w:t>
      </w:r>
      <w:proofErr w:type="spellStart"/>
      <w:r w:rsidRPr="00843C52">
        <w:t>Sabelli</w:t>
      </w:r>
      <w:proofErr w:type="spellEnd"/>
      <w:r w:rsidRPr="00843C52">
        <w:t>, N. (2011). Organizing research and development at the intersection of learning, implementation, and design. Educational Researcher, 40(7), 331–337.</w:t>
      </w:r>
    </w:p>
    <w:p w14:paraId="0B9FA157" w14:textId="77777777" w:rsidR="005936CD" w:rsidRPr="00FD3937" w:rsidRDefault="005936CD" w:rsidP="005936CD">
      <w:pPr>
        <w:ind w:left="720" w:hanging="720"/>
        <w:contextualSpacing/>
        <w:mirrorIndents/>
      </w:pPr>
      <w:r w:rsidRPr="00FD3937">
        <w:t>Penuel, W. R., Turner, M. L., Jacobs, J. K., Van Horne, K., &amp; Sumner, T. (2019). Developing tasks to assess phenomenon‐based science learning: Challenges and lessons learned from building proximal transfer tasks. </w:t>
      </w:r>
      <w:r w:rsidRPr="005936CD">
        <w:t>Science Education, </w:t>
      </w:r>
      <w:r w:rsidRPr="005E7064">
        <w:t xml:space="preserve">103(6), 1367–1395. </w:t>
      </w:r>
      <w:hyperlink r:id="rId54" w:history="1">
        <w:r w:rsidRPr="005936CD">
          <w:rPr>
            <w:rStyle w:val="Hyperlink"/>
          </w:rPr>
          <w:t>https://doi.org/10.1002/sce.21544</w:t>
        </w:r>
      </w:hyperlink>
    </w:p>
    <w:p w14:paraId="05FD2E06" w14:textId="77777777" w:rsidR="005936CD" w:rsidRPr="00D973BF" w:rsidRDefault="005936CD" w:rsidP="005936CD">
      <w:pPr>
        <w:ind w:left="720" w:hanging="720"/>
        <w:contextualSpacing/>
        <w:mirrorIndents/>
      </w:pPr>
      <w:r w:rsidRPr="00FD3937">
        <w:t xml:space="preserve">Penuel, W. R. and Reiser, B. (2018). Designing NGSS-aligned curriculum materials. Paper commissioned for the report </w:t>
      </w:r>
      <w:r w:rsidRPr="005936CD">
        <w:t>Engaging Middle and High School Students in Science and Engineering: New Approaches to Investigation and Desi</w:t>
      </w:r>
      <w:r w:rsidRPr="00FD3937">
        <w:t>gn from the Board on Science Education, National Academies of Science, Engineering, and Medicine.</w:t>
      </w:r>
    </w:p>
    <w:p w14:paraId="5CDB3E1F" w14:textId="77777777" w:rsidR="005936CD" w:rsidRPr="00FD3937" w:rsidRDefault="005936CD" w:rsidP="005936CD">
      <w:pPr>
        <w:ind w:left="720" w:hanging="720"/>
        <w:contextualSpacing/>
        <w:mirrorIndents/>
        <w:rPr>
          <w:rStyle w:val="Hyperlink"/>
        </w:rPr>
      </w:pPr>
      <w:proofErr w:type="spellStart"/>
      <w:r w:rsidRPr="00FD3937">
        <w:t>Raudenbush</w:t>
      </w:r>
      <w:proofErr w:type="spellEnd"/>
      <w:r w:rsidRPr="00FD3937">
        <w:t xml:space="preserve">, S. W. (2015). Value added: A case study in the mismatch between education research and policy. Educational Researcher, 44(2), 138–141. </w:t>
      </w:r>
      <w:hyperlink r:id="rId55" w:history="1">
        <w:r w:rsidRPr="00FD3937">
          <w:rPr>
            <w:rStyle w:val="Hyperlink"/>
          </w:rPr>
          <w:t>https://doi.org/10.3102/0013189X15575345</w:t>
        </w:r>
      </w:hyperlink>
    </w:p>
    <w:p w14:paraId="61EB0FF7" w14:textId="77777777" w:rsidR="005936CD" w:rsidRPr="00843C52" w:rsidRDefault="005936CD" w:rsidP="005936CD">
      <w:pPr>
        <w:ind w:left="720" w:hanging="720"/>
        <w:contextualSpacing/>
        <w:mirrorIndents/>
        <w:rPr>
          <w:color w:val="0000FF"/>
          <w:u w:val="single"/>
        </w:rPr>
      </w:pPr>
      <w:proofErr w:type="spellStart"/>
      <w:r w:rsidRPr="00843C52">
        <w:rPr>
          <w:color w:val="222222"/>
          <w:shd w:val="clear" w:color="auto" w:fill="FFFFFF"/>
        </w:rPr>
        <w:t>Raudenbush</w:t>
      </w:r>
      <w:proofErr w:type="spellEnd"/>
      <w:r w:rsidRPr="00843C52">
        <w:rPr>
          <w:color w:val="222222"/>
          <w:shd w:val="clear" w:color="auto" w:fill="FFFFFF"/>
        </w:rPr>
        <w:t xml:space="preserve">, S. W., &amp; Bryk, A. S. (2002). Hierarchical linear models: Applications and data analysis methods (Vol. 1). </w:t>
      </w:r>
      <w:r w:rsidRPr="00FD3937">
        <w:rPr>
          <w:color w:val="222222"/>
          <w:shd w:val="clear" w:color="auto" w:fill="FFFFFF"/>
        </w:rPr>
        <w:t>S</w:t>
      </w:r>
      <w:r w:rsidRPr="00843C52">
        <w:rPr>
          <w:color w:val="222222"/>
          <w:shd w:val="clear" w:color="auto" w:fill="FFFFFF"/>
        </w:rPr>
        <w:t>age.</w:t>
      </w:r>
    </w:p>
    <w:p w14:paraId="11D0555E" w14:textId="13F60A24" w:rsidR="005936CD" w:rsidRPr="00FD3937" w:rsidRDefault="005936CD" w:rsidP="005936CD">
      <w:pPr>
        <w:ind w:left="720" w:hanging="720"/>
        <w:contextualSpacing/>
        <w:mirrorIndents/>
      </w:pPr>
      <w:r w:rsidRPr="00FD3937">
        <w:t xml:space="preserve">Rice, J. K. (2010). The Impact of Teacher Experience: Examining the Evidence and Policy Implications. Brief No. 11. </w:t>
      </w:r>
      <w:r w:rsidRPr="005936CD">
        <w:t>National Center for Analysis of Longitudinal Data in Education Research</w:t>
      </w:r>
      <w:r w:rsidRPr="005E7064">
        <w:t xml:space="preserve">. </w:t>
      </w:r>
      <w:hyperlink r:id="rId56" w:history="1">
        <w:r w:rsidRPr="00FD3937">
          <w:rPr>
            <w:rStyle w:val="Hyperlink"/>
          </w:rPr>
          <w:t>https://eric</w:t>
        </w:r>
        <w:r w:rsidRPr="00843C52">
          <w:rPr>
            <w:rStyle w:val="Hyperlink"/>
          </w:rPr>
          <w:t>.ed.gov/?id=ED511988</w:t>
        </w:r>
      </w:hyperlink>
      <w:r w:rsidRPr="00FD3937">
        <w:t xml:space="preserve"> </w:t>
      </w:r>
    </w:p>
    <w:p w14:paraId="0067BA70" w14:textId="77777777" w:rsidR="005936CD" w:rsidRPr="00FD3937" w:rsidRDefault="005936CD" w:rsidP="005936CD">
      <w:pPr>
        <w:ind w:left="720" w:hanging="720"/>
        <w:contextualSpacing/>
        <w:mirrorIndents/>
      </w:pPr>
      <w:r w:rsidRPr="00FD3937">
        <w:t xml:space="preserve">Rivkin, S. G., Hanushek, E. A., &amp; Kain, J. F. (2005). Teachers, schools, and academic achievement. </w:t>
      </w:r>
      <w:proofErr w:type="spellStart"/>
      <w:r w:rsidRPr="00FD3937">
        <w:t>Econometrica</w:t>
      </w:r>
      <w:proofErr w:type="spellEnd"/>
      <w:r w:rsidRPr="00FD3937">
        <w:t xml:space="preserve">, 73(2), 417–458. </w:t>
      </w:r>
      <w:hyperlink r:id="rId57" w:history="1">
        <w:r w:rsidRPr="00FD3937">
          <w:rPr>
            <w:rStyle w:val="Hyperlink"/>
          </w:rPr>
          <w:t>https://doi.org/10.1111/j.1468-0262.2005.00584.x</w:t>
        </w:r>
      </w:hyperlink>
    </w:p>
    <w:p w14:paraId="26681283" w14:textId="77777777" w:rsidR="005936CD" w:rsidRPr="00FD3937" w:rsidRDefault="005936CD" w:rsidP="005936CD">
      <w:pPr>
        <w:ind w:left="720" w:hanging="720"/>
        <w:contextualSpacing/>
        <w:mirrorIndents/>
      </w:pPr>
      <w:r w:rsidRPr="00FD3937">
        <w:t xml:space="preserve">Roblin, N. P., </w:t>
      </w:r>
      <w:proofErr w:type="spellStart"/>
      <w:r w:rsidRPr="00FD3937">
        <w:t>Schunn</w:t>
      </w:r>
      <w:proofErr w:type="spellEnd"/>
      <w:r w:rsidRPr="00FD3937">
        <w:t>, C., &amp; McKenn</w:t>
      </w:r>
      <w:r w:rsidRPr="005936CD">
        <w:t xml:space="preserve">ey, S. (2018). What are critical features of science curriculum materials that impact student and teacher </w:t>
      </w:r>
      <w:proofErr w:type="gramStart"/>
      <w:r w:rsidRPr="005936CD">
        <w:t>outcomes?.</w:t>
      </w:r>
      <w:proofErr w:type="gramEnd"/>
      <w:r w:rsidRPr="005936CD">
        <w:t> </w:t>
      </w:r>
      <w:r w:rsidRPr="00FD3937">
        <w:t>Science education, 102(2), 260–282. https://doi.org/10.1002/sce.21328</w:t>
      </w:r>
    </w:p>
    <w:p w14:paraId="019AEB6F" w14:textId="60EFD05B" w:rsidR="005936CD" w:rsidRPr="00FD3937" w:rsidRDefault="005936CD" w:rsidP="005936CD">
      <w:pPr>
        <w:ind w:left="720" w:hanging="720"/>
        <w:contextualSpacing/>
        <w:mirrorIndents/>
      </w:pPr>
      <w:r w:rsidRPr="00FD3937">
        <w:t>Rosebery, A. S., Warren, B., &amp; Lee, C. D. (2014). Learning as a cultural process: Achieving equity thro</w:t>
      </w:r>
      <w:r w:rsidRPr="005936CD">
        <w:t>ugh diversity. In The Cambridge Handbook of the Learning Sciences, Second Edition</w:t>
      </w:r>
      <w:r w:rsidRPr="00FD3937">
        <w:t> (pp. 686–706). Cambridge University Press.</w:t>
      </w:r>
    </w:p>
    <w:p w14:paraId="2F46B9E5" w14:textId="77777777" w:rsidR="005936CD" w:rsidRPr="00FD3937" w:rsidRDefault="005936CD" w:rsidP="005936CD">
      <w:pPr>
        <w:ind w:left="720" w:hanging="720"/>
        <w:contextualSpacing/>
        <w:mirrorIndents/>
        <w:rPr>
          <w:rStyle w:val="Hyperlink"/>
          <w:color w:val="auto"/>
          <w:u w:val="none"/>
        </w:rPr>
      </w:pPr>
      <w:r w:rsidRPr="00FD3937">
        <w:t xml:space="preserve">Schwarz, C. V., Braaten, M., </w:t>
      </w:r>
      <w:proofErr w:type="spellStart"/>
      <w:r w:rsidRPr="00FD3937">
        <w:t>Haverly</w:t>
      </w:r>
      <w:proofErr w:type="spellEnd"/>
      <w:r w:rsidRPr="00FD3937">
        <w:t xml:space="preserve">, C., &amp; de los Santos, E. X. (2020). Using Sense-Making Moments to Understand How Elementary Teachers’ Interactions Expand, Maintain, or Shut Down Sense-making in </w:t>
      </w:r>
      <w:proofErr w:type="gramStart"/>
      <w:r w:rsidRPr="00FD3937">
        <w:t>Science</w:t>
      </w:r>
      <w:proofErr w:type="gramEnd"/>
      <w:r w:rsidRPr="00FD3937">
        <w:t xml:space="preserve">. Cognition and Instruction, 1–36. </w:t>
      </w:r>
      <w:hyperlink r:id="rId58" w:history="1">
        <w:r w:rsidRPr="00FD3937">
          <w:rPr>
            <w:rStyle w:val="Hyperlink"/>
          </w:rPr>
          <w:t>https://doi.org/10.1080/07370008.2020.1763349</w:t>
        </w:r>
      </w:hyperlink>
      <w:r w:rsidRPr="00FD3937">
        <w:t xml:space="preserve"> </w:t>
      </w:r>
    </w:p>
    <w:p w14:paraId="4756655A" w14:textId="77777777" w:rsidR="005936CD" w:rsidRPr="00FD3937" w:rsidRDefault="005936CD" w:rsidP="005936CD">
      <w:pPr>
        <w:ind w:left="720" w:hanging="720"/>
        <w:contextualSpacing/>
        <w:mirrorIndents/>
        <w:rPr>
          <w:color w:val="0000FF"/>
          <w:u w:val="single"/>
        </w:rPr>
      </w:pPr>
      <w:proofErr w:type="spellStart"/>
      <w:r w:rsidRPr="00FD3937">
        <w:t>Shadish</w:t>
      </w:r>
      <w:proofErr w:type="spellEnd"/>
      <w:r w:rsidRPr="00FD3937">
        <w:t xml:space="preserve">, W. R., Clark, M. H., Steiner, &amp; P. M. (2008). Can nonrandomized experiments yield accurate answers? A randomized experiment comparing random and nonrandom assignments. Journal of the American statistical association, </w:t>
      </w:r>
      <w:r w:rsidRPr="00FD3937">
        <w:rPr>
          <w:bCs/>
        </w:rPr>
        <w:t>103</w:t>
      </w:r>
      <w:r w:rsidRPr="00FD3937">
        <w:t xml:space="preserve">(484), 1334–1344. </w:t>
      </w:r>
      <w:hyperlink r:id="rId59" w:history="1">
        <w:r w:rsidRPr="00FD3937">
          <w:rPr>
            <w:rStyle w:val="Hyperlink"/>
          </w:rPr>
          <w:t>https://doi.org/10.1198/016214508000000733</w:t>
        </w:r>
      </w:hyperlink>
    </w:p>
    <w:p w14:paraId="094AC612" w14:textId="77777777" w:rsidR="00A3694E" w:rsidRPr="00A3694E" w:rsidRDefault="00A3694E" w:rsidP="00A3694E">
      <w:pPr>
        <w:ind w:left="720" w:hanging="720"/>
        <w:contextualSpacing/>
        <w:mirrorIndents/>
      </w:pPr>
      <w:r w:rsidRPr="00A3694E">
        <w:t xml:space="preserve">Smith, C., Wiser, M., Anderson, C. W., and </w:t>
      </w:r>
      <w:proofErr w:type="spellStart"/>
      <w:r w:rsidRPr="00A3694E">
        <w:t>Krajcik</w:t>
      </w:r>
      <w:proofErr w:type="spellEnd"/>
      <w:r w:rsidRPr="00A3694E">
        <w:t xml:space="preserve">, J. (2006). Implications of research on children's learning for standards and assessment: A proposed learning progression for </w:t>
      </w:r>
      <w:r w:rsidRPr="00A3694E">
        <w:lastRenderedPageBreak/>
        <w:t>matter and the atomic-molecular theory.</w:t>
      </w:r>
      <w:r w:rsidRPr="00A3694E">
        <w:rPr>
          <w:i/>
        </w:rPr>
        <w:t xml:space="preserve"> Measurement: Interdisciplinary Research and Perspectives, </w:t>
      </w:r>
      <w:r w:rsidRPr="00A3694E">
        <w:rPr>
          <w:i/>
          <w:iCs/>
        </w:rPr>
        <w:t>4</w:t>
      </w:r>
      <w:r w:rsidRPr="00A3694E">
        <w:rPr>
          <w:i/>
        </w:rPr>
        <w:t xml:space="preserve">(1-2), </w:t>
      </w:r>
      <w:r w:rsidRPr="00A3694E">
        <w:t>1</w:t>
      </w:r>
      <w:r w:rsidR="00A111BB">
        <w:t>–</w:t>
      </w:r>
      <w:r w:rsidRPr="00A3694E">
        <w:t>98</w:t>
      </w:r>
      <w:r w:rsidRPr="00A3694E">
        <w:rPr>
          <w:i/>
        </w:rPr>
        <w:t>.</w:t>
      </w:r>
    </w:p>
    <w:p w14:paraId="149D5956" w14:textId="77777777" w:rsidR="00A3694E" w:rsidRPr="00A3694E" w:rsidRDefault="00A3694E" w:rsidP="00A3694E">
      <w:pPr>
        <w:ind w:left="720" w:hanging="720"/>
        <w:contextualSpacing/>
        <w:mirrorIndents/>
      </w:pPr>
      <w:r w:rsidRPr="00A3694E">
        <w:t xml:space="preserve">Smith, D. C., and Anderson, C. W.  (1999). Appropriating scientific practices and discourses with future elementary teachers.  </w:t>
      </w:r>
      <w:r w:rsidRPr="00A3694E">
        <w:rPr>
          <w:i/>
        </w:rPr>
        <w:t>Journal of Research in Science Teaching, 36(7)</w:t>
      </w:r>
      <w:r w:rsidRPr="00A3694E">
        <w:t>, 755</w:t>
      </w:r>
      <w:r w:rsidR="00A111BB">
        <w:t>–</w:t>
      </w:r>
      <w:r w:rsidRPr="00A3694E">
        <w:t>776.</w:t>
      </w:r>
    </w:p>
    <w:p w14:paraId="45DF884E" w14:textId="77777777" w:rsidR="005936CD" w:rsidRPr="00FD3937" w:rsidRDefault="005936CD" w:rsidP="005936CD">
      <w:pPr>
        <w:ind w:left="720" w:hanging="720"/>
        <w:contextualSpacing/>
        <w:mirrorIndents/>
      </w:pPr>
      <w:proofErr w:type="spellStart"/>
      <w:r w:rsidRPr="000936E6">
        <w:rPr>
          <w:rFonts w:hint="eastAsia"/>
        </w:rPr>
        <w:t>T</w:t>
      </w:r>
      <w:r w:rsidRPr="000936E6">
        <w:t>ekkumru-Kisa</w:t>
      </w:r>
      <w:proofErr w:type="spellEnd"/>
      <w:r w:rsidRPr="000936E6">
        <w:t xml:space="preserve">, M., Stein, M. K., &amp; Doyle, W. (2020). Theory and Research on Tasks Revisited: Task as a Context for Students’ Thinking in the Era of Ambitious Reforms in Mathematics and Science. Educational Researcher, 49(8), 606–617. </w:t>
      </w:r>
      <w:r w:rsidRPr="00FD3937">
        <w:rPr>
          <w:rStyle w:val="Hyperlink"/>
        </w:rPr>
        <w:t>https://doi.org/10.3102/0013189X20932480</w:t>
      </w:r>
    </w:p>
    <w:p w14:paraId="737905F1" w14:textId="77777777" w:rsidR="005936CD" w:rsidRPr="00FD3937" w:rsidRDefault="005936CD" w:rsidP="005936CD">
      <w:pPr>
        <w:ind w:left="720" w:hanging="720"/>
        <w:contextualSpacing/>
        <w:mirrorIndents/>
      </w:pPr>
      <w:r w:rsidRPr="00FD3937">
        <w:t xml:space="preserve">Thomas, J. (2020, March). </w:t>
      </w:r>
      <w:r w:rsidRPr="00FD3937">
        <w:rPr>
          <w:bCs/>
        </w:rPr>
        <w:t>Using machine learning to interpret NGSS tasks at scale</w:t>
      </w:r>
      <w:r w:rsidRPr="005936CD">
        <w:t xml:space="preserve">. </w:t>
      </w:r>
      <w:r w:rsidR="000B5090">
        <w:t>Prepared for the a</w:t>
      </w:r>
      <w:r w:rsidR="000B5090" w:rsidRPr="005936CD">
        <w:t xml:space="preserve">nnual </w:t>
      </w:r>
      <w:r w:rsidRPr="005936CD">
        <w:t>meeting of the National Association for Research in Science Teaching, Portland, OR. (Conference canceled).</w:t>
      </w:r>
    </w:p>
    <w:p w14:paraId="04E5D641" w14:textId="77777777" w:rsidR="005936CD" w:rsidRPr="00FD3937" w:rsidRDefault="005936CD" w:rsidP="005936CD">
      <w:pPr>
        <w:ind w:left="720" w:hanging="720"/>
        <w:contextualSpacing/>
        <w:mirrorIndents/>
      </w:pPr>
      <w:r w:rsidRPr="00FD3937">
        <w:t xml:space="preserve">Thomas, J., Anderson, C. W., Draney, K., Frank, K., &amp; </w:t>
      </w:r>
      <w:proofErr w:type="spellStart"/>
      <w:r w:rsidRPr="00FD3937">
        <w:t>Bathia</w:t>
      </w:r>
      <w:proofErr w:type="spellEnd"/>
      <w:r w:rsidRPr="00FD3937">
        <w:t xml:space="preserve">, S. (2020). Using machine learning to assess and interpret NGSS tasks at scale. </w:t>
      </w:r>
      <w:r w:rsidRPr="00885D17">
        <w:rPr>
          <w:i/>
          <w:iCs/>
        </w:rPr>
        <w:t>Carbon TIME</w:t>
      </w:r>
      <w:r w:rsidRPr="005936CD">
        <w:t xml:space="preserve"> project, Michigan State University.</w:t>
      </w:r>
    </w:p>
    <w:p w14:paraId="00593E14" w14:textId="77777777" w:rsidR="005936CD" w:rsidRPr="00FD3937" w:rsidRDefault="005936CD" w:rsidP="005936CD">
      <w:pPr>
        <w:ind w:left="720" w:hanging="720"/>
        <w:contextualSpacing/>
        <w:mirrorIndents/>
      </w:pPr>
      <w:r w:rsidRPr="00FD3937">
        <w:t>Thomas, J., Kim, J., &amp; Draney, K. (2018, March). Machine scoring and IRT analysis. Presented at t</w:t>
      </w:r>
      <w:r w:rsidRPr="005936CD">
        <w:t>he annual meeting of the National Association for Research in Science Teaching, Atlanta.</w:t>
      </w:r>
    </w:p>
    <w:p w14:paraId="1FE449AD" w14:textId="4A298FAB" w:rsidR="006533FC" w:rsidRPr="006533FC" w:rsidRDefault="006533FC" w:rsidP="006533FC">
      <w:pPr>
        <w:ind w:left="720" w:hanging="720"/>
        <w:contextualSpacing/>
        <w:mirrorIndents/>
      </w:pPr>
      <w:r w:rsidRPr="006533FC">
        <w:t xml:space="preserve">Thompson, J., Hagenah, S., Kang, H., </w:t>
      </w:r>
      <w:proofErr w:type="spellStart"/>
      <w:r w:rsidRPr="006533FC">
        <w:t>Stroupe</w:t>
      </w:r>
      <w:proofErr w:type="spellEnd"/>
      <w:r w:rsidRPr="006533FC">
        <w:t xml:space="preserve">, D., Braaten, M., Colley, C., &amp; </w:t>
      </w:r>
      <w:proofErr w:type="spellStart"/>
      <w:r w:rsidRPr="006533FC">
        <w:t>Windschitl</w:t>
      </w:r>
      <w:proofErr w:type="spellEnd"/>
      <w:r w:rsidRPr="006533FC">
        <w:t>, M. (2016). Rigor and responsiveness in classroom activity. </w:t>
      </w:r>
      <w:r w:rsidRPr="006533FC">
        <w:rPr>
          <w:i/>
          <w:iCs/>
        </w:rPr>
        <w:t>Teachers College Record</w:t>
      </w:r>
      <w:r>
        <w:rPr>
          <w:i/>
          <w:iCs/>
        </w:rPr>
        <w:t>, 118</w:t>
      </w:r>
      <w:r w:rsidRPr="006533FC">
        <w:t>.</w:t>
      </w:r>
    </w:p>
    <w:p w14:paraId="2896D146" w14:textId="77777777" w:rsidR="005936CD" w:rsidRPr="00D973BF" w:rsidRDefault="005936CD" w:rsidP="005936CD">
      <w:pPr>
        <w:ind w:left="720" w:hanging="720"/>
        <w:contextualSpacing/>
        <w:mirrorIndents/>
      </w:pPr>
      <w:r w:rsidRPr="00FD3937">
        <w:t>Tseng, V.,</w:t>
      </w:r>
      <w:r w:rsidRPr="005936CD">
        <w:t xml:space="preserve"> </w:t>
      </w:r>
      <w:r w:rsidRPr="005E7064">
        <w:t xml:space="preserve">Easton, J. Q., &amp; </w:t>
      </w:r>
      <w:r w:rsidRPr="00FD3937">
        <w:t>Supplee, L. H. (2017). Research-practice partnerships: Building two-way streets of engagement. Social Policy Report, 30(4), 3–16.</w:t>
      </w:r>
    </w:p>
    <w:p w14:paraId="3CE742FF" w14:textId="77777777" w:rsidR="005936CD" w:rsidRPr="00D973BF" w:rsidRDefault="005936CD" w:rsidP="005936CD">
      <w:pPr>
        <w:ind w:left="720" w:hanging="720"/>
        <w:contextualSpacing/>
        <w:mirrorIndents/>
      </w:pPr>
      <w:r w:rsidRPr="00D07889">
        <w:t>U.S. Department of Education, Institute of Education Sciences, National Center for Education Statistics, National Assessment of Educational Progress (NAEP), 2009 and 2015 Science Assessments. retrieved from https://www.nationsreportcard.gov/science_2015/#scores/chart_loc_1?grade=12</w:t>
      </w:r>
    </w:p>
    <w:p w14:paraId="7CD5257F" w14:textId="77777777" w:rsidR="005936CD" w:rsidRPr="00FD3937" w:rsidRDefault="005936CD" w:rsidP="005936CD">
      <w:pPr>
        <w:ind w:left="720" w:hanging="720"/>
        <w:contextualSpacing/>
        <w:mirrorIndents/>
      </w:pPr>
      <w:r w:rsidRPr="00FD3937">
        <w:t xml:space="preserve">Willett, J. B. (1988). Chapter 9: Questions and answers in the measurement of change. Review of research in education, 15(1), 345–422. </w:t>
      </w:r>
      <w:hyperlink r:id="rId60" w:history="1">
        <w:r w:rsidRPr="00FD3937">
          <w:rPr>
            <w:rStyle w:val="Hyperlink"/>
          </w:rPr>
          <w:t>https://doi</w:t>
        </w:r>
      </w:hyperlink>
      <w:r w:rsidRPr="00FD3937">
        <w:rPr>
          <w:rStyle w:val="Hyperlink"/>
        </w:rPr>
        <w:t>.org/10.3102/0091732X015001345</w:t>
      </w:r>
    </w:p>
    <w:p w14:paraId="180C80C2" w14:textId="77777777" w:rsidR="005936CD" w:rsidRPr="00FD3937" w:rsidRDefault="005936CD" w:rsidP="005936CD">
      <w:pPr>
        <w:ind w:left="720" w:hanging="720"/>
        <w:contextualSpacing/>
        <w:mirrorIndents/>
      </w:pPr>
      <w:r w:rsidRPr="00FD3937">
        <w:t>Wise, S. L. (2017). Rapid‐guessing behavior: Its identification, interpretation, and implications. </w:t>
      </w:r>
      <w:r w:rsidRPr="005936CD">
        <w:t>Educational Measurement: Issues and Practice</w:t>
      </w:r>
      <w:r w:rsidRPr="005E7064">
        <w:t>, 36</w:t>
      </w:r>
      <w:r w:rsidRPr="00FD3937">
        <w:t xml:space="preserve">(4), 52–61. </w:t>
      </w:r>
      <w:hyperlink r:id="rId61" w:history="1">
        <w:r w:rsidRPr="005936CD">
          <w:rPr>
            <w:rStyle w:val="Hyperlink"/>
          </w:rPr>
          <w:t>https://doi.org/10.1111/emip.12165</w:t>
        </w:r>
      </w:hyperlink>
    </w:p>
    <w:p w14:paraId="055748E4" w14:textId="67992437" w:rsidR="00564D0E" w:rsidRPr="00A55830" w:rsidRDefault="005936CD" w:rsidP="00A55830">
      <w:pPr>
        <w:ind w:left="720" w:hanging="720"/>
        <w:contextualSpacing/>
        <w:mirrorIndents/>
      </w:pPr>
      <w:r w:rsidRPr="00FD3937">
        <w:t xml:space="preserve">Wong, V. C., Valentine, J. C., &amp; Miller-Bains, K. (2017). Empirical performance of covariates in education observational studies. Journal of Research on Educational Effectiveness, </w:t>
      </w:r>
      <w:r w:rsidRPr="00FD3937">
        <w:rPr>
          <w:bCs/>
        </w:rPr>
        <w:t>10</w:t>
      </w:r>
      <w:r w:rsidRPr="00FD3937">
        <w:t xml:space="preserve">(1), 207–236. </w:t>
      </w:r>
      <w:hyperlink r:id="rId62" w:history="1">
        <w:r w:rsidRPr="00FD3937">
          <w:rPr>
            <w:rStyle w:val="Hyperlink"/>
          </w:rPr>
          <w:t>http://dx.doi.org/10.1080/19345747.2016.1164781</w:t>
        </w:r>
      </w:hyperlink>
    </w:p>
    <w:sectPr w:rsidR="00564D0E" w:rsidRPr="00A55830" w:rsidSect="00CE128A">
      <w:headerReference w:type="even" r:id="rId63"/>
      <w:headerReference w:type="default" r:id="rId64"/>
      <w:footerReference w:type="default" r:id="rId65"/>
      <w:headerReference w:type="first" r:id="rId66"/>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127A1" w14:textId="77777777" w:rsidR="00C02CA6" w:rsidRDefault="00C02CA6">
      <w:r>
        <w:separator/>
      </w:r>
    </w:p>
  </w:endnote>
  <w:endnote w:type="continuationSeparator" w:id="0">
    <w:p w14:paraId="798ED70F" w14:textId="77777777" w:rsidR="00C02CA6" w:rsidRDefault="00C02CA6">
      <w:r>
        <w:continuationSeparator/>
      </w:r>
    </w:p>
  </w:endnote>
  <w:endnote w:type="continuationNotice" w:id="1">
    <w:p w14:paraId="00C9378E" w14:textId="77777777" w:rsidR="00C02CA6" w:rsidRDefault="00C02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ԝ麐䦡羶"/>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3E15" w14:textId="414C7E09" w:rsidR="00FA7498" w:rsidRDefault="00FA7498">
    <w:pPr>
      <w:pStyle w:val="Footer"/>
      <w:widowControl w:val="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532E6" w14:textId="77777777" w:rsidR="00C02CA6" w:rsidRDefault="00C02CA6">
      <w:r>
        <w:separator/>
      </w:r>
    </w:p>
  </w:footnote>
  <w:footnote w:type="continuationSeparator" w:id="0">
    <w:p w14:paraId="66BB8742" w14:textId="77777777" w:rsidR="00C02CA6" w:rsidRDefault="00C02CA6">
      <w:r>
        <w:continuationSeparator/>
      </w:r>
    </w:p>
  </w:footnote>
  <w:footnote w:type="continuationNotice" w:id="1">
    <w:p w14:paraId="299B121F" w14:textId="77777777" w:rsidR="00C02CA6" w:rsidRDefault="00C02CA6"/>
  </w:footnote>
  <w:footnote w:id="2">
    <w:p w14:paraId="289C0F74" w14:textId="68F2EEEA" w:rsidR="00FA7498" w:rsidRDefault="00FA7498" w:rsidP="00A97B56">
      <w:pPr>
        <w:pStyle w:val="FootnoteText"/>
        <w:spacing w:line="240" w:lineRule="auto"/>
      </w:pPr>
      <w:r>
        <w:rPr>
          <w:rStyle w:val="FootnoteReference"/>
        </w:rPr>
        <w:footnoteRef/>
      </w:r>
      <w:r>
        <w:t xml:space="preserve"> </w:t>
      </w:r>
      <w:r w:rsidRPr="00E0783B">
        <w:t>Middle-</w:t>
      </w:r>
      <w:r w:rsidRPr="00F75A9F">
        <w:t xml:space="preserve"> and high-school teachers used the same units, with some simpler activities designed primarily for middle-school students </w:t>
      </w:r>
      <w:r>
        <w:t>and some more complex activities designed primarily for high school students. Our learning progression research showed that virtually none of the high-school students had mastered middle-school NGSS performance expectation (see Results for Research Question 1 below), so some high-school activities addressed NGSS middle-school performance expectations.</w:t>
      </w:r>
    </w:p>
  </w:footnote>
  <w:footnote w:id="3">
    <w:p w14:paraId="4E22E19A" w14:textId="6E227FDD" w:rsidR="00FA7498" w:rsidRPr="00C56F29" w:rsidRDefault="00FA7498" w:rsidP="00A97B56">
      <w:pPr>
        <w:pStyle w:val="FootnoteText"/>
        <w:spacing w:line="240" w:lineRule="auto"/>
        <w:rPr>
          <w:rFonts w:ascii="Arial" w:hAnsi="Arial" w:cs="Arial"/>
        </w:rPr>
      </w:pPr>
      <w:r w:rsidRPr="009D7BDA">
        <w:rPr>
          <w:rStyle w:val="FootnoteReference"/>
        </w:rPr>
        <w:footnoteRef/>
      </w:r>
      <w:r w:rsidRPr="00C56F29">
        <w:rPr>
          <w:rFonts w:ascii="Arial" w:hAnsi="Arial" w:cs="Arial"/>
        </w:rPr>
        <w:t xml:space="preserve"> </w:t>
      </w:r>
      <w:r w:rsidRPr="0094751B">
        <w:t>Our learning progression frameworks distinguish between level 1 (simple force-dynamic accounts) and level 2 (elaborated force-dynamic accounts), but our assessments for secondary students were not designed to assess this distinction.</w:t>
      </w:r>
      <w:r>
        <w:t xml:space="preserve"> </w:t>
      </w:r>
      <w:r w:rsidR="003911D6">
        <w:t>T</w:t>
      </w:r>
      <w:r>
        <w:t xml:space="preserve">he differentiation between level 1 and level 2 occurs primarily in the upper elementary grades. </w:t>
      </w:r>
      <w:r w:rsidR="003911D6">
        <w:t>Since this study focuses</w:t>
      </w:r>
      <w:r>
        <w:t xml:space="preserve"> on middle and high school students only; </w:t>
      </w:r>
      <w:r w:rsidR="003911D6">
        <w:t>we developed items for these assessments that reliably distinguish</w:t>
      </w:r>
      <w:r>
        <w:t xml:space="preserve"> levels 2 through 4.</w:t>
      </w:r>
    </w:p>
  </w:footnote>
  <w:footnote w:id="4">
    <w:p w14:paraId="77EE3976" w14:textId="61E12480" w:rsidR="00B8464E" w:rsidRDefault="00B8464E" w:rsidP="00B8464E">
      <w:pPr>
        <w:pStyle w:val="FootnoteText"/>
        <w:spacing w:line="240" w:lineRule="auto"/>
      </w:pPr>
      <w:r>
        <w:rPr>
          <w:rStyle w:val="FootnoteReference"/>
        </w:rPr>
        <w:footnoteRef/>
      </w:r>
      <w:r>
        <w:t xml:space="preserve"> This means if a teacher taught two classrooms in one year, that two classrooms were combined into one cluster. Teachers were inconsistent in how they designated classes</w:t>
      </w:r>
      <w:r w:rsidR="00BF3E4A">
        <w:t xml:space="preserve"> in the online assessment system;</w:t>
      </w:r>
      <w:r>
        <w:t xml:space="preserve"> </w:t>
      </w:r>
      <w:r w:rsidR="00716834">
        <w:t>thus,</w:t>
      </w:r>
      <w:r>
        <w:t xml:space="preserve"> our data were not adequate for an analysis that including an additional level</w:t>
      </w:r>
      <w:r w:rsidR="00BB414D">
        <w:t xml:space="preserve"> for different classes taught by the same teacher in the same year</w:t>
      </w:r>
      <w:r>
        <w:t>. This likely contributes to underestimation of standard error, generating conservative inferences.</w:t>
      </w:r>
    </w:p>
  </w:footnote>
  <w:footnote w:id="5">
    <w:p w14:paraId="0016D689" w14:textId="77777777" w:rsidR="00FA7498" w:rsidRDefault="00FA7498" w:rsidP="008F7E38">
      <w:pPr>
        <w:pStyle w:val="FootnoteText"/>
        <w:spacing w:line="240" w:lineRule="auto"/>
      </w:pPr>
      <w:r>
        <w:rPr>
          <w:rStyle w:val="FootnoteReference"/>
        </w:rPr>
        <w:footnoteRef/>
      </w:r>
      <w:r>
        <w:t xml:space="preserve"> The ICC was calculated as </w:t>
      </w:r>
      <m:oMath>
        <m:f>
          <m:fPr>
            <m:ctrlPr>
              <w:rPr>
                <w:rFonts w:ascii="Cambria Math" w:hAnsi="Cambria Math"/>
                <w:i/>
              </w:rPr>
            </m:ctrlPr>
          </m:fPr>
          <m:num>
            <m:r>
              <w:rPr>
                <w:rFonts w:ascii="Cambria Math" w:hAnsi="Cambria Math"/>
              </w:rPr>
              <m:t>var(</m:t>
            </m:r>
            <m:sSub>
              <m:sSubPr>
                <m:ctrlPr>
                  <w:rPr>
                    <w:rFonts w:ascii="Cambria Math" w:hAnsi="Cambria Math"/>
                    <w:i/>
                  </w:rPr>
                </m:ctrlPr>
              </m:sSubPr>
              <m:e>
                <m:r>
                  <w:rPr>
                    <w:rFonts w:ascii="Cambria Math" w:hAnsi="Cambria Math"/>
                  </w:rPr>
                  <m:t>u</m:t>
                </m:r>
              </m:e>
              <m:sub>
                <m:r>
                  <w:rPr>
                    <w:rFonts w:ascii="Cambria Math" w:hAnsi="Cambria Math"/>
                  </w:rPr>
                  <m:t>0j</m:t>
                </m:r>
              </m:sub>
            </m:sSub>
            <m:r>
              <w:rPr>
                <w:rFonts w:ascii="Cambria Math" w:hAnsi="Cambria Math"/>
              </w:rPr>
              <m:t>)</m:t>
            </m:r>
          </m:num>
          <m:den>
            <m:r>
              <w:rPr>
                <w:rFonts w:ascii="Cambria Math" w:hAnsi="Cambria Math"/>
              </w:rPr>
              <m:t>var</m:t>
            </m:r>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0j</m:t>
                    </m:r>
                  </m:sub>
                </m:sSub>
              </m:e>
            </m:d>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den>
        </m:f>
      </m:oMath>
      <w:r>
        <w:rPr>
          <w:rFonts w:hint="eastAsia"/>
        </w:rPr>
        <w:t xml:space="preserve"> </w:t>
      </w:r>
      <w:r>
        <w:t xml:space="preserve"> in the unconditional model to measure how much of the total variance was at level 2 (i.e., classroom or teacher-year level in this paper)</w:t>
      </w:r>
      <w:r>
        <w:rPr>
          <w:rFonts w:hint="eastAsia"/>
        </w:rPr>
        <w:t>.</w:t>
      </w:r>
      <w:r>
        <w:t xml:space="preserve"> </w:t>
      </w:r>
    </w:p>
  </w:footnote>
  <w:footnote w:id="6">
    <w:p w14:paraId="0730EE03" w14:textId="5974D482" w:rsidR="00FA7498" w:rsidRPr="0094751B" w:rsidRDefault="00FA7498" w:rsidP="008F7E38">
      <w:pPr>
        <w:pStyle w:val="FootnoteText"/>
        <w:spacing w:line="240" w:lineRule="auto"/>
      </w:pPr>
      <w:r w:rsidRPr="009D7BDA">
        <w:rPr>
          <w:rStyle w:val="FootnoteReference"/>
        </w:rPr>
        <w:footnoteRef/>
      </w:r>
      <w:r w:rsidRPr="009D7BDA">
        <w:t xml:space="preserve"> </w:t>
      </w:r>
      <w:r w:rsidRPr="0094751B">
        <w:t>In comparison, the between-year variation only accounts for 3%. That is, the variation in students’ learning outcome</w:t>
      </w:r>
      <w:r>
        <w:t>s</w:t>
      </w:r>
      <w:r w:rsidRPr="0094751B">
        <w:t xml:space="preserve"> between academic years is small relative to the variation within years.   </w:t>
      </w:r>
    </w:p>
  </w:footnote>
  <w:footnote w:id="7">
    <w:p w14:paraId="2503DB8B" w14:textId="5ABDE439" w:rsidR="00FA7498" w:rsidRDefault="00FA7498" w:rsidP="001755B5">
      <w:pPr>
        <w:pStyle w:val="FootnoteText"/>
        <w:spacing w:line="240" w:lineRule="auto"/>
      </w:pPr>
      <w:r>
        <w:rPr>
          <w:rStyle w:val="FootnoteReference"/>
        </w:rPr>
        <w:footnoteRef/>
      </w:r>
      <w:r>
        <w:t xml:space="preserve"> Since teachers were identified in the second semester of year before they joined the cohort, a baseline pretest was not feasible. However, when we compared Teacher Year 1 pretests with Teacher Year 2 pretests for the Analytical Sample 1 teachers, we found that mean pretest scores were </w:t>
      </w:r>
      <w:r>
        <w:softHyphen/>
        <w:t xml:space="preserve">–1.46 for Year 1 and –1.53 for Year 2, with a difference of only –0.07 logits. All this said, we agree that there still could be concerns about. Therefore, we quantified the strength of evidence for the inference: more than 94% of the estimate would have to be due to bias to change the inference. This is more robust than all the studies reviewed by </w:t>
      </w:r>
      <w:r>
        <w:t>Frank et al.</w:t>
      </w:r>
      <w:r w:rsidR="00630366">
        <w:rPr>
          <w:rFonts w:hint="eastAsia"/>
        </w:rPr>
        <w:t xml:space="preserve"> </w:t>
      </w:r>
      <w:r>
        <w:t>(2013).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243634"/>
      <w:docPartObj>
        <w:docPartGallery w:val="Page Numbers (Top of Page)"/>
        <w:docPartUnique/>
      </w:docPartObj>
    </w:sdtPr>
    <w:sdtEndPr>
      <w:rPr>
        <w:rStyle w:val="PageNumber"/>
      </w:rPr>
    </w:sdtEndPr>
    <w:sdtContent>
      <w:p w14:paraId="6E47AD83" w14:textId="5D7C2280" w:rsidR="00FA7498" w:rsidRDefault="00FA7498" w:rsidP="001239E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3AC295" w14:textId="77777777" w:rsidR="00FA7498" w:rsidRDefault="00FA7498" w:rsidP="00AC0B3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2891216"/>
      <w:docPartObj>
        <w:docPartGallery w:val="Page Numbers (Top of Page)"/>
        <w:docPartUnique/>
      </w:docPartObj>
    </w:sdtPr>
    <w:sdtEndPr>
      <w:rPr>
        <w:rStyle w:val="PageNumber"/>
      </w:rPr>
    </w:sdtEndPr>
    <w:sdtContent>
      <w:p w14:paraId="252BECC0" w14:textId="345EC3D4" w:rsidR="00FA7498" w:rsidRDefault="00FA7498" w:rsidP="001239E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0BC5E2DC" w14:textId="3B0C999A" w:rsidR="00FA7498" w:rsidRDefault="00FA7498" w:rsidP="00AC0B33">
    <w:pPr>
      <w:pStyle w:val="Header"/>
      <w:ind w:right="360"/>
    </w:pPr>
    <w:r>
      <w:t>FACTORS AFFECTING STUDENTS’ LEARNING IN DESIGN-BASED IMPLEMENTATION RESEARCH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ABE53" w14:textId="625ADFE5" w:rsidR="00FA7498" w:rsidRDefault="00FA7498">
    <w:pPr>
      <w:pStyle w:val="Header"/>
    </w:pPr>
    <w:r>
      <w:t>FACTORS AFFECTING STUDENTS’ LEARNING IN DESIGN-BASED IMPLEMENTATION RESEARCH</w:t>
    </w:r>
  </w:p>
  <w:p w14:paraId="73273E0F" w14:textId="77777777" w:rsidR="00FA7498" w:rsidRDefault="00FA7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6FB2"/>
    <w:multiLevelType w:val="hybridMultilevel"/>
    <w:tmpl w:val="ACCCB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E2E5E"/>
    <w:multiLevelType w:val="hybridMultilevel"/>
    <w:tmpl w:val="21CAC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746F5"/>
    <w:multiLevelType w:val="hybridMultilevel"/>
    <w:tmpl w:val="CD4EC2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E7420C"/>
    <w:multiLevelType w:val="hybridMultilevel"/>
    <w:tmpl w:val="FC6EC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F80540"/>
    <w:multiLevelType w:val="hybridMultilevel"/>
    <w:tmpl w:val="258E17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5C4456"/>
    <w:multiLevelType w:val="hybridMultilevel"/>
    <w:tmpl w:val="B7C6A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BB7051"/>
    <w:multiLevelType w:val="hybridMultilevel"/>
    <w:tmpl w:val="3424C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A67F53"/>
    <w:multiLevelType w:val="hybridMultilevel"/>
    <w:tmpl w:val="C082F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F2AF6"/>
    <w:multiLevelType w:val="hybridMultilevel"/>
    <w:tmpl w:val="5A3AE998"/>
    <w:lvl w:ilvl="0" w:tplc="BFA251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7E32CB"/>
    <w:multiLevelType w:val="hybridMultilevel"/>
    <w:tmpl w:val="83DE4F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076FC7"/>
    <w:multiLevelType w:val="hybridMultilevel"/>
    <w:tmpl w:val="06A6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2712D"/>
    <w:multiLevelType w:val="hybridMultilevel"/>
    <w:tmpl w:val="2904E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B30E8"/>
    <w:multiLevelType w:val="hybridMultilevel"/>
    <w:tmpl w:val="D1486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0F2FD9"/>
    <w:multiLevelType w:val="hybridMultilevel"/>
    <w:tmpl w:val="AECEB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96454F"/>
    <w:multiLevelType w:val="hybridMultilevel"/>
    <w:tmpl w:val="52E6A9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45067A0"/>
    <w:multiLevelType w:val="hybridMultilevel"/>
    <w:tmpl w:val="5E7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186145"/>
    <w:multiLevelType w:val="hybridMultilevel"/>
    <w:tmpl w:val="D854A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CC396B"/>
    <w:multiLevelType w:val="hybridMultilevel"/>
    <w:tmpl w:val="FB50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BA52D9"/>
    <w:multiLevelType w:val="hybridMultilevel"/>
    <w:tmpl w:val="224E83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EE7024"/>
    <w:multiLevelType w:val="hybridMultilevel"/>
    <w:tmpl w:val="29EA8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F0A0081"/>
    <w:multiLevelType w:val="hybridMultilevel"/>
    <w:tmpl w:val="FBC8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04323"/>
    <w:multiLevelType w:val="hybridMultilevel"/>
    <w:tmpl w:val="B7BE6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770327"/>
    <w:multiLevelType w:val="hybridMultilevel"/>
    <w:tmpl w:val="31FCE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DC9256C"/>
    <w:multiLevelType w:val="hybridMultilevel"/>
    <w:tmpl w:val="BB0AEE68"/>
    <w:lvl w:ilvl="0" w:tplc="C592FF9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763570"/>
    <w:multiLevelType w:val="hybridMultilevel"/>
    <w:tmpl w:val="8140E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1D5F73"/>
    <w:multiLevelType w:val="hybridMultilevel"/>
    <w:tmpl w:val="2736B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EA1DA0"/>
    <w:multiLevelType w:val="hybridMultilevel"/>
    <w:tmpl w:val="9496BC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BD0B4C"/>
    <w:multiLevelType w:val="hybridMultilevel"/>
    <w:tmpl w:val="32A664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E5C207C"/>
    <w:multiLevelType w:val="hybridMultilevel"/>
    <w:tmpl w:val="D88CF2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F4B5B91"/>
    <w:multiLevelType w:val="hybridMultilevel"/>
    <w:tmpl w:val="0980D3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021643E"/>
    <w:multiLevelType w:val="hybridMultilevel"/>
    <w:tmpl w:val="ED6E2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983C7C"/>
    <w:multiLevelType w:val="hybridMultilevel"/>
    <w:tmpl w:val="1CD68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317BD5"/>
    <w:multiLevelType w:val="hybridMultilevel"/>
    <w:tmpl w:val="661A49C4"/>
    <w:lvl w:ilvl="0" w:tplc="341EF1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51C76"/>
    <w:multiLevelType w:val="hybridMultilevel"/>
    <w:tmpl w:val="42AC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A133D6"/>
    <w:multiLevelType w:val="hybridMultilevel"/>
    <w:tmpl w:val="C8E6D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5B2BDF"/>
    <w:multiLevelType w:val="hybridMultilevel"/>
    <w:tmpl w:val="931E7B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0"/>
  </w:num>
  <w:num w:numId="3">
    <w:abstractNumId w:val="0"/>
  </w:num>
  <w:num w:numId="4">
    <w:abstractNumId w:val="11"/>
  </w:num>
  <w:num w:numId="5">
    <w:abstractNumId w:val="18"/>
  </w:num>
  <w:num w:numId="6">
    <w:abstractNumId w:val="27"/>
  </w:num>
  <w:num w:numId="7">
    <w:abstractNumId w:val="34"/>
  </w:num>
  <w:num w:numId="8">
    <w:abstractNumId w:val="31"/>
  </w:num>
  <w:num w:numId="9">
    <w:abstractNumId w:val="7"/>
  </w:num>
  <w:num w:numId="10">
    <w:abstractNumId w:val="12"/>
  </w:num>
  <w:num w:numId="11">
    <w:abstractNumId w:val="26"/>
  </w:num>
  <w:num w:numId="12">
    <w:abstractNumId w:val="16"/>
  </w:num>
  <w:num w:numId="13">
    <w:abstractNumId w:val="3"/>
  </w:num>
  <w:num w:numId="14">
    <w:abstractNumId w:val="24"/>
  </w:num>
  <w:num w:numId="15">
    <w:abstractNumId w:val="35"/>
  </w:num>
  <w:num w:numId="16">
    <w:abstractNumId w:val="25"/>
  </w:num>
  <w:num w:numId="17">
    <w:abstractNumId w:val="9"/>
  </w:num>
  <w:num w:numId="18">
    <w:abstractNumId w:val="14"/>
  </w:num>
  <w:num w:numId="19">
    <w:abstractNumId w:val="28"/>
  </w:num>
  <w:num w:numId="20">
    <w:abstractNumId w:val="29"/>
  </w:num>
  <w:num w:numId="21">
    <w:abstractNumId w:val="13"/>
  </w:num>
  <w:num w:numId="22">
    <w:abstractNumId w:val="32"/>
  </w:num>
  <w:num w:numId="23">
    <w:abstractNumId w:val="32"/>
  </w:num>
  <w:num w:numId="24">
    <w:abstractNumId w:val="23"/>
  </w:num>
  <w:num w:numId="25">
    <w:abstractNumId w:val="19"/>
  </w:num>
  <w:num w:numId="26">
    <w:abstractNumId w:val="17"/>
  </w:num>
  <w:num w:numId="27">
    <w:abstractNumId w:val="1"/>
  </w:num>
  <w:num w:numId="28">
    <w:abstractNumId w:val="33"/>
  </w:num>
  <w:num w:numId="29">
    <w:abstractNumId w:val="2"/>
  </w:num>
  <w:num w:numId="30">
    <w:abstractNumId w:val="6"/>
  </w:num>
  <w:num w:numId="31">
    <w:abstractNumId w:val="22"/>
  </w:num>
  <w:num w:numId="32">
    <w:abstractNumId w:val="20"/>
  </w:num>
  <w:num w:numId="33">
    <w:abstractNumId w:val="10"/>
  </w:num>
  <w:num w:numId="34">
    <w:abstractNumId w:val="5"/>
  </w:num>
  <w:num w:numId="35">
    <w:abstractNumId w:val="4"/>
  </w:num>
  <w:num w:numId="36">
    <w:abstractNumId w:val="8"/>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116"/>
    <w:rsid w:val="0000013C"/>
    <w:rsid w:val="000004F0"/>
    <w:rsid w:val="00001EB0"/>
    <w:rsid w:val="00003373"/>
    <w:rsid w:val="00003C36"/>
    <w:rsid w:val="000047D2"/>
    <w:rsid w:val="00005E3E"/>
    <w:rsid w:val="00006956"/>
    <w:rsid w:val="00016077"/>
    <w:rsid w:val="00016701"/>
    <w:rsid w:val="00016712"/>
    <w:rsid w:val="0002051A"/>
    <w:rsid w:val="00020735"/>
    <w:rsid w:val="00021D9D"/>
    <w:rsid w:val="000222AA"/>
    <w:rsid w:val="000232C6"/>
    <w:rsid w:val="00023DCE"/>
    <w:rsid w:val="00024000"/>
    <w:rsid w:val="0002505A"/>
    <w:rsid w:val="00025A4E"/>
    <w:rsid w:val="00027B8E"/>
    <w:rsid w:val="00030661"/>
    <w:rsid w:val="00030CA8"/>
    <w:rsid w:val="00033461"/>
    <w:rsid w:val="000356E2"/>
    <w:rsid w:val="00035E91"/>
    <w:rsid w:val="0003623E"/>
    <w:rsid w:val="00036298"/>
    <w:rsid w:val="000372FD"/>
    <w:rsid w:val="00044237"/>
    <w:rsid w:val="00052339"/>
    <w:rsid w:val="00052642"/>
    <w:rsid w:val="00052892"/>
    <w:rsid w:val="00053610"/>
    <w:rsid w:val="00053E79"/>
    <w:rsid w:val="00054ED0"/>
    <w:rsid w:val="00055E6D"/>
    <w:rsid w:val="00057DC6"/>
    <w:rsid w:val="0006072B"/>
    <w:rsid w:val="00060C79"/>
    <w:rsid w:val="00061C70"/>
    <w:rsid w:val="00061E7D"/>
    <w:rsid w:val="00062DDC"/>
    <w:rsid w:val="0006569C"/>
    <w:rsid w:val="00070786"/>
    <w:rsid w:val="00071D50"/>
    <w:rsid w:val="00071F36"/>
    <w:rsid w:val="000720B1"/>
    <w:rsid w:val="00072CBC"/>
    <w:rsid w:val="0007311E"/>
    <w:rsid w:val="00073F0F"/>
    <w:rsid w:val="0007604D"/>
    <w:rsid w:val="00076F9A"/>
    <w:rsid w:val="0007791E"/>
    <w:rsid w:val="00077E67"/>
    <w:rsid w:val="0008331C"/>
    <w:rsid w:val="000846F4"/>
    <w:rsid w:val="00084D85"/>
    <w:rsid w:val="00085800"/>
    <w:rsid w:val="00086078"/>
    <w:rsid w:val="00086E7B"/>
    <w:rsid w:val="00087147"/>
    <w:rsid w:val="0009124F"/>
    <w:rsid w:val="00091409"/>
    <w:rsid w:val="000915AA"/>
    <w:rsid w:val="00092116"/>
    <w:rsid w:val="00092C4D"/>
    <w:rsid w:val="000936E6"/>
    <w:rsid w:val="000958B1"/>
    <w:rsid w:val="00096A3B"/>
    <w:rsid w:val="00097796"/>
    <w:rsid w:val="000A0883"/>
    <w:rsid w:val="000A1C43"/>
    <w:rsid w:val="000A2218"/>
    <w:rsid w:val="000A2F0E"/>
    <w:rsid w:val="000A4432"/>
    <w:rsid w:val="000A4B65"/>
    <w:rsid w:val="000A4C3B"/>
    <w:rsid w:val="000B0111"/>
    <w:rsid w:val="000B033B"/>
    <w:rsid w:val="000B0A7D"/>
    <w:rsid w:val="000B392D"/>
    <w:rsid w:val="000B5090"/>
    <w:rsid w:val="000B592F"/>
    <w:rsid w:val="000B59A8"/>
    <w:rsid w:val="000B5C97"/>
    <w:rsid w:val="000B61C7"/>
    <w:rsid w:val="000C16DC"/>
    <w:rsid w:val="000C24F4"/>
    <w:rsid w:val="000C3158"/>
    <w:rsid w:val="000C383A"/>
    <w:rsid w:val="000C42BE"/>
    <w:rsid w:val="000C42F1"/>
    <w:rsid w:val="000C433F"/>
    <w:rsid w:val="000C43AC"/>
    <w:rsid w:val="000C4B65"/>
    <w:rsid w:val="000C4E16"/>
    <w:rsid w:val="000C5AEE"/>
    <w:rsid w:val="000C5C3F"/>
    <w:rsid w:val="000C5C85"/>
    <w:rsid w:val="000C6602"/>
    <w:rsid w:val="000C6AF0"/>
    <w:rsid w:val="000D0C3B"/>
    <w:rsid w:val="000D260E"/>
    <w:rsid w:val="000D2EDA"/>
    <w:rsid w:val="000D2F46"/>
    <w:rsid w:val="000D31D4"/>
    <w:rsid w:val="000D4248"/>
    <w:rsid w:val="000D7C6C"/>
    <w:rsid w:val="000E0B20"/>
    <w:rsid w:val="000E4492"/>
    <w:rsid w:val="000E44A7"/>
    <w:rsid w:val="000E5594"/>
    <w:rsid w:val="000E6634"/>
    <w:rsid w:val="000E6C72"/>
    <w:rsid w:val="000F1B58"/>
    <w:rsid w:val="000F35A9"/>
    <w:rsid w:val="000F3BFB"/>
    <w:rsid w:val="000F5550"/>
    <w:rsid w:val="001006DF"/>
    <w:rsid w:val="001025E7"/>
    <w:rsid w:val="001034E9"/>
    <w:rsid w:val="00103A71"/>
    <w:rsid w:val="00103D2D"/>
    <w:rsid w:val="00105D5C"/>
    <w:rsid w:val="00106B13"/>
    <w:rsid w:val="00107A61"/>
    <w:rsid w:val="00107A90"/>
    <w:rsid w:val="001108A1"/>
    <w:rsid w:val="00110B0E"/>
    <w:rsid w:val="001139A7"/>
    <w:rsid w:val="00113A58"/>
    <w:rsid w:val="00113FF8"/>
    <w:rsid w:val="001143A6"/>
    <w:rsid w:val="001144A4"/>
    <w:rsid w:val="001148F9"/>
    <w:rsid w:val="00115F83"/>
    <w:rsid w:val="001162EC"/>
    <w:rsid w:val="0011670A"/>
    <w:rsid w:val="0012085D"/>
    <w:rsid w:val="001217E3"/>
    <w:rsid w:val="001222CD"/>
    <w:rsid w:val="001225EE"/>
    <w:rsid w:val="00122F79"/>
    <w:rsid w:val="001239EA"/>
    <w:rsid w:val="00123BCA"/>
    <w:rsid w:val="00124646"/>
    <w:rsid w:val="001255D7"/>
    <w:rsid w:val="001263EE"/>
    <w:rsid w:val="00126666"/>
    <w:rsid w:val="001273B0"/>
    <w:rsid w:val="00130007"/>
    <w:rsid w:val="0013006D"/>
    <w:rsid w:val="001318E2"/>
    <w:rsid w:val="0013318C"/>
    <w:rsid w:val="0013343E"/>
    <w:rsid w:val="00133ED3"/>
    <w:rsid w:val="001353A3"/>
    <w:rsid w:val="00135B46"/>
    <w:rsid w:val="00135C69"/>
    <w:rsid w:val="00136008"/>
    <w:rsid w:val="00136761"/>
    <w:rsid w:val="00137B8A"/>
    <w:rsid w:val="001401F3"/>
    <w:rsid w:val="001403C1"/>
    <w:rsid w:val="00140808"/>
    <w:rsid w:val="00141E29"/>
    <w:rsid w:val="001439DB"/>
    <w:rsid w:val="0014548B"/>
    <w:rsid w:val="00145BDF"/>
    <w:rsid w:val="00147032"/>
    <w:rsid w:val="00147F3D"/>
    <w:rsid w:val="00150829"/>
    <w:rsid w:val="001512B0"/>
    <w:rsid w:val="001514A9"/>
    <w:rsid w:val="0015183B"/>
    <w:rsid w:val="001520EA"/>
    <w:rsid w:val="001523D4"/>
    <w:rsid w:val="00152D52"/>
    <w:rsid w:val="001531C8"/>
    <w:rsid w:val="0015370C"/>
    <w:rsid w:val="00153FE0"/>
    <w:rsid w:val="0015418F"/>
    <w:rsid w:val="00155B49"/>
    <w:rsid w:val="00155F9A"/>
    <w:rsid w:val="0015613B"/>
    <w:rsid w:val="0015661B"/>
    <w:rsid w:val="00157ACD"/>
    <w:rsid w:val="00163139"/>
    <w:rsid w:val="001641C8"/>
    <w:rsid w:val="0016537A"/>
    <w:rsid w:val="001676D8"/>
    <w:rsid w:val="001679DF"/>
    <w:rsid w:val="00167C15"/>
    <w:rsid w:val="00171D23"/>
    <w:rsid w:val="00172100"/>
    <w:rsid w:val="00172DCE"/>
    <w:rsid w:val="00172E5C"/>
    <w:rsid w:val="001735C5"/>
    <w:rsid w:val="00173F1B"/>
    <w:rsid w:val="0017438E"/>
    <w:rsid w:val="001749DD"/>
    <w:rsid w:val="001755B5"/>
    <w:rsid w:val="00177341"/>
    <w:rsid w:val="00180EAB"/>
    <w:rsid w:val="00181777"/>
    <w:rsid w:val="00181867"/>
    <w:rsid w:val="00182401"/>
    <w:rsid w:val="001840C9"/>
    <w:rsid w:val="001840F8"/>
    <w:rsid w:val="0018411B"/>
    <w:rsid w:val="00185570"/>
    <w:rsid w:val="00185684"/>
    <w:rsid w:val="001856A3"/>
    <w:rsid w:val="00186F81"/>
    <w:rsid w:val="001879C3"/>
    <w:rsid w:val="00187FD6"/>
    <w:rsid w:val="00190604"/>
    <w:rsid w:val="00191F9C"/>
    <w:rsid w:val="001934FA"/>
    <w:rsid w:val="001951C6"/>
    <w:rsid w:val="00195D84"/>
    <w:rsid w:val="001965A9"/>
    <w:rsid w:val="001A1A69"/>
    <w:rsid w:val="001A1B3C"/>
    <w:rsid w:val="001A1CC9"/>
    <w:rsid w:val="001A341C"/>
    <w:rsid w:val="001A3B07"/>
    <w:rsid w:val="001A57BD"/>
    <w:rsid w:val="001A57CC"/>
    <w:rsid w:val="001A6330"/>
    <w:rsid w:val="001A6644"/>
    <w:rsid w:val="001A787B"/>
    <w:rsid w:val="001B3C57"/>
    <w:rsid w:val="001B3F51"/>
    <w:rsid w:val="001C245A"/>
    <w:rsid w:val="001C43AA"/>
    <w:rsid w:val="001C4527"/>
    <w:rsid w:val="001C471E"/>
    <w:rsid w:val="001C4841"/>
    <w:rsid w:val="001C5398"/>
    <w:rsid w:val="001C584D"/>
    <w:rsid w:val="001C6389"/>
    <w:rsid w:val="001C72AB"/>
    <w:rsid w:val="001C73BD"/>
    <w:rsid w:val="001D0FF8"/>
    <w:rsid w:val="001D11D3"/>
    <w:rsid w:val="001D14C1"/>
    <w:rsid w:val="001D2F48"/>
    <w:rsid w:val="001D2FCB"/>
    <w:rsid w:val="001D56B4"/>
    <w:rsid w:val="001D636E"/>
    <w:rsid w:val="001D6A3F"/>
    <w:rsid w:val="001D6B1E"/>
    <w:rsid w:val="001D78F5"/>
    <w:rsid w:val="001E05F0"/>
    <w:rsid w:val="001E0721"/>
    <w:rsid w:val="001E2A92"/>
    <w:rsid w:val="001E4960"/>
    <w:rsid w:val="001E550A"/>
    <w:rsid w:val="001E7194"/>
    <w:rsid w:val="001F1033"/>
    <w:rsid w:val="001F2491"/>
    <w:rsid w:val="001F29A1"/>
    <w:rsid w:val="001F403A"/>
    <w:rsid w:val="001F4E9B"/>
    <w:rsid w:val="001F550F"/>
    <w:rsid w:val="0020267C"/>
    <w:rsid w:val="0020493B"/>
    <w:rsid w:val="00205243"/>
    <w:rsid w:val="00205EF1"/>
    <w:rsid w:val="00206256"/>
    <w:rsid w:val="00206810"/>
    <w:rsid w:val="00207A16"/>
    <w:rsid w:val="0021264E"/>
    <w:rsid w:val="00215417"/>
    <w:rsid w:val="0021547B"/>
    <w:rsid w:val="00216D14"/>
    <w:rsid w:val="002172A9"/>
    <w:rsid w:val="00217C57"/>
    <w:rsid w:val="00222D30"/>
    <w:rsid w:val="00224A5E"/>
    <w:rsid w:val="0022540E"/>
    <w:rsid w:val="00226CD9"/>
    <w:rsid w:val="002313E0"/>
    <w:rsid w:val="002315D4"/>
    <w:rsid w:val="00231620"/>
    <w:rsid w:val="00231A10"/>
    <w:rsid w:val="0023266B"/>
    <w:rsid w:val="0023275A"/>
    <w:rsid w:val="00233EC7"/>
    <w:rsid w:val="00234B9C"/>
    <w:rsid w:val="00240571"/>
    <w:rsid w:val="0024061A"/>
    <w:rsid w:val="002406BB"/>
    <w:rsid w:val="00241752"/>
    <w:rsid w:val="00245BFC"/>
    <w:rsid w:val="00246266"/>
    <w:rsid w:val="00246F31"/>
    <w:rsid w:val="0025114A"/>
    <w:rsid w:val="00251A5A"/>
    <w:rsid w:val="00252924"/>
    <w:rsid w:val="00253462"/>
    <w:rsid w:val="00253975"/>
    <w:rsid w:val="0025435A"/>
    <w:rsid w:val="002546B1"/>
    <w:rsid w:val="00254A41"/>
    <w:rsid w:val="002557D1"/>
    <w:rsid w:val="002564A3"/>
    <w:rsid w:val="00257164"/>
    <w:rsid w:val="0025776E"/>
    <w:rsid w:val="00257D72"/>
    <w:rsid w:val="002600E0"/>
    <w:rsid w:val="00262F3F"/>
    <w:rsid w:val="002637FA"/>
    <w:rsid w:val="002644DA"/>
    <w:rsid w:val="00264B6B"/>
    <w:rsid w:val="00265E7D"/>
    <w:rsid w:val="0026752D"/>
    <w:rsid w:val="00267E09"/>
    <w:rsid w:val="00272522"/>
    <w:rsid w:val="00273DEF"/>
    <w:rsid w:val="00274BE2"/>
    <w:rsid w:val="00275133"/>
    <w:rsid w:val="00277539"/>
    <w:rsid w:val="00280949"/>
    <w:rsid w:val="00280CC7"/>
    <w:rsid w:val="00281AF6"/>
    <w:rsid w:val="00282D7B"/>
    <w:rsid w:val="00283A2B"/>
    <w:rsid w:val="00283DAB"/>
    <w:rsid w:val="00284467"/>
    <w:rsid w:val="0029035B"/>
    <w:rsid w:val="002905C5"/>
    <w:rsid w:val="0029091E"/>
    <w:rsid w:val="00291CFF"/>
    <w:rsid w:val="002921E5"/>
    <w:rsid w:val="00292F97"/>
    <w:rsid w:val="0029384C"/>
    <w:rsid w:val="0029641C"/>
    <w:rsid w:val="00297AEF"/>
    <w:rsid w:val="002A0242"/>
    <w:rsid w:val="002A04F0"/>
    <w:rsid w:val="002A0CEA"/>
    <w:rsid w:val="002A1329"/>
    <w:rsid w:val="002A4A8E"/>
    <w:rsid w:val="002A57BF"/>
    <w:rsid w:val="002A5EFB"/>
    <w:rsid w:val="002A6470"/>
    <w:rsid w:val="002A6E31"/>
    <w:rsid w:val="002A754B"/>
    <w:rsid w:val="002B0FF8"/>
    <w:rsid w:val="002B105A"/>
    <w:rsid w:val="002B12D9"/>
    <w:rsid w:val="002B20B0"/>
    <w:rsid w:val="002B2ED9"/>
    <w:rsid w:val="002B4CD6"/>
    <w:rsid w:val="002B5899"/>
    <w:rsid w:val="002B6221"/>
    <w:rsid w:val="002B70FA"/>
    <w:rsid w:val="002C0448"/>
    <w:rsid w:val="002C28C2"/>
    <w:rsid w:val="002C2A55"/>
    <w:rsid w:val="002C2B7E"/>
    <w:rsid w:val="002C56FA"/>
    <w:rsid w:val="002D0384"/>
    <w:rsid w:val="002D04FE"/>
    <w:rsid w:val="002D05EA"/>
    <w:rsid w:val="002D0E5F"/>
    <w:rsid w:val="002D2F07"/>
    <w:rsid w:val="002D3F64"/>
    <w:rsid w:val="002D43FF"/>
    <w:rsid w:val="002D5673"/>
    <w:rsid w:val="002D6B2C"/>
    <w:rsid w:val="002D70E0"/>
    <w:rsid w:val="002E09CE"/>
    <w:rsid w:val="002E0F6E"/>
    <w:rsid w:val="002E1785"/>
    <w:rsid w:val="002E31E0"/>
    <w:rsid w:val="002E41DD"/>
    <w:rsid w:val="002E48B9"/>
    <w:rsid w:val="002E56CD"/>
    <w:rsid w:val="002E57FD"/>
    <w:rsid w:val="002E5995"/>
    <w:rsid w:val="002E653D"/>
    <w:rsid w:val="002E6694"/>
    <w:rsid w:val="002E745E"/>
    <w:rsid w:val="002E7475"/>
    <w:rsid w:val="002E782A"/>
    <w:rsid w:val="002E78A8"/>
    <w:rsid w:val="002E78F5"/>
    <w:rsid w:val="002E79EC"/>
    <w:rsid w:val="002E7E81"/>
    <w:rsid w:val="002F1CF9"/>
    <w:rsid w:val="002F2954"/>
    <w:rsid w:val="002F2997"/>
    <w:rsid w:val="002F362F"/>
    <w:rsid w:val="002F3794"/>
    <w:rsid w:val="002F5279"/>
    <w:rsid w:val="002F5E13"/>
    <w:rsid w:val="002F5E54"/>
    <w:rsid w:val="002F6367"/>
    <w:rsid w:val="002F67C5"/>
    <w:rsid w:val="002F7109"/>
    <w:rsid w:val="00300371"/>
    <w:rsid w:val="0030135D"/>
    <w:rsid w:val="00301B0D"/>
    <w:rsid w:val="00301FB5"/>
    <w:rsid w:val="00303155"/>
    <w:rsid w:val="00304186"/>
    <w:rsid w:val="003042EF"/>
    <w:rsid w:val="00304951"/>
    <w:rsid w:val="00305C83"/>
    <w:rsid w:val="00305FFE"/>
    <w:rsid w:val="0030620F"/>
    <w:rsid w:val="00306F76"/>
    <w:rsid w:val="00311B54"/>
    <w:rsid w:val="00312AA2"/>
    <w:rsid w:val="00312E31"/>
    <w:rsid w:val="003132E2"/>
    <w:rsid w:val="00313789"/>
    <w:rsid w:val="0031422B"/>
    <w:rsid w:val="003157C1"/>
    <w:rsid w:val="00316413"/>
    <w:rsid w:val="00317AF6"/>
    <w:rsid w:val="00317EFA"/>
    <w:rsid w:val="0032075C"/>
    <w:rsid w:val="003221C0"/>
    <w:rsid w:val="00322288"/>
    <w:rsid w:val="0032271D"/>
    <w:rsid w:val="00323314"/>
    <w:rsid w:val="00323BC6"/>
    <w:rsid w:val="003256D9"/>
    <w:rsid w:val="00325895"/>
    <w:rsid w:val="003269D3"/>
    <w:rsid w:val="003303BE"/>
    <w:rsid w:val="00333EC1"/>
    <w:rsid w:val="00334A67"/>
    <w:rsid w:val="00335D6F"/>
    <w:rsid w:val="003367E8"/>
    <w:rsid w:val="00336B34"/>
    <w:rsid w:val="00336E8D"/>
    <w:rsid w:val="0034109C"/>
    <w:rsid w:val="00342371"/>
    <w:rsid w:val="003432CF"/>
    <w:rsid w:val="00344198"/>
    <w:rsid w:val="00344341"/>
    <w:rsid w:val="00344396"/>
    <w:rsid w:val="0034584B"/>
    <w:rsid w:val="0034735C"/>
    <w:rsid w:val="003508F9"/>
    <w:rsid w:val="003510BF"/>
    <w:rsid w:val="00352241"/>
    <w:rsid w:val="00352384"/>
    <w:rsid w:val="003528A7"/>
    <w:rsid w:val="003543BA"/>
    <w:rsid w:val="00354AE0"/>
    <w:rsid w:val="00354D3F"/>
    <w:rsid w:val="00355CC0"/>
    <w:rsid w:val="0035669D"/>
    <w:rsid w:val="00356710"/>
    <w:rsid w:val="00356A92"/>
    <w:rsid w:val="003573E1"/>
    <w:rsid w:val="0036131A"/>
    <w:rsid w:val="0036208C"/>
    <w:rsid w:val="003626D4"/>
    <w:rsid w:val="00362D6A"/>
    <w:rsid w:val="0036400B"/>
    <w:rsid w:val="00364C2A"/>
    <w:rsid w:val="00365239"/>
    <w:rsid w:val="003654DF"/>
    <w:rsid w:val="00365D63"/>
    <w:rsid w:val="00371175"/>
    <w:rsid w:val="00372234"/>
    <w:rsid w:val="00374D1D"/>
    <w:rsid w:val="0037506C"/>
    <w:rsid w:val="0037539A"/>
    <w:rsid w:val="0037707A"/>
    <w:rsid w:val="00380969"/>
    <w:rsid w:val="00381308"/>
    <w:rsid w:val="00381314"/>
    <w:rsid w:val="00381D81"/>
    <w:rsid w:val="003833A7"/>
    <w:rsid w:val="003848E4"/>
    <w:rsid w:val="00385750"/>
    <w:rsid w:val="00390AB8"/>
    <w:rsid w:val="00390C82"/>
    <w:rsid w:val="003911D6"/>
    <w:rsid w:val="00391BAC"/>
    <w:rsid w:val="00391CEF"/>
    <w:rsid w:val="00394133"/>
    <w:rsid w:val="003943A5"/>
    <w:rsid w:val="0039669A"/>
    <w:rsid w:val="003A0F87"/>
    <w:rsid w:val="003A191D"/>
    <w:rsid w:val="003A36D6"/>
    <w:rsid w:val="003A3BB7"/>
    <w:rsid w:val="003A5959"/>
    <w:rsid w:val="003A6AF9"/>
    <w:rsid w:val="003A6E15"/>
    <w:rsid w:val="003A7D49"/>
    <w:rsid w:val="003B0BDE"/>
    <w:rsid w:val="003B21B3"/>
    <w:rsid w:val="003B305A"/>
    <w:rsid w:val="003B4EDD"/>
    <w:rsid w:val="003B56A2"/>
    <w:rsid w:val="003B5E86"/>
    <w:rsid w:val="003B5E9E"/>
    <w:rsid w:val="003B7486"/>
    <w:rsid w:val="003B7A98"/>
    <w:rsid w:val="003C1165"/>
    <w:rsid w:val="003C2244"/>
    <w:rsid w:val="003C2740"/>
    <w:rsid w:val="003C2F91"/>
    <w:rsid w:val="003C45D7"/>
    <w:rsid w:val="003C4849"/>
    <w:rsid w:val="003C4E24"/>
    <w:rsid w:val="003C55E2"/>
    <w:rsid w:val="003C5BFD"/>
    <w:rsid w:val="003C6EC5"/>
    <w:rsid w:val="003D010E"/>
    <w:rsid w:val="003D36B6"/>
    <w:rsid w:val="003D394B"/>
    <w:rsid w:val="003D58B2"/>
    <w:rsid w:val="003D6795"/>
    <w:rsid w:val="003E1D89"/>
    <w:rsid w:val="003E30A1"/>
    <w:rsid w:val="003E3282"/>
    <w:rsid w:val="003E3BF9"/>
    <w:rsid w:val="003E4691"/>
    <w:rsid w:val="003E52A8"/>
    <w:rsid w:val="003E724A"/>
    <w:rsid w:val="003E73AB"/>
    <w:rsid w:val="003E73D4"/>
    <w:rsid w:val="003E7C6E"/>
    <w:rsid w:val="003F183C"/>
    <w:rsid w:val="003F39AE"/>
    <w:rsid w:val="003F59DC"/>
    <w:rsid w:val="00401230"/>
    <w:rsid w:val="00401443"/>
    <w:rsid w:val="004014AC"/>
    <w:rsid w:val="004014BB"/>
    <w:rsid w:val="00401A2C"/>
    <w:rsid w:val="004031EF"/>
    <w:rsid w:val="004038CA"/>
    <w:rsid w:val="00403BEF"/>
    <w:rsid w:val="00404338"/>
    <w:rsid w:val="00404B97"/>
    <w:rsid w:val="00404EEC"/>
    <w:rsid w:val="004050FB"/>
    <w:rsid w:val="0040623B"/>
    <w:rsid w:val="00406EC7"/>
    <w:rsid w:val="004072C0"/>
    <w:rsid w:val="00407BEB"/>
    <w:rsid w:val="00410466"/>
    <w:rsid w:val="00410C11"/>
    <w:rsid w:val="00411C73"/>
    <w:rsid w:val="00412E9B"/>
    <w:rsid w:val="0041328E"/>
    <w:rsid w:val="004139AA"/>
    <w:rsid w:val="00414213"/>
    <w:rsid w:val="0041487F"/>
    <w:rsid w:val="00414C8B"/>
    <w:rsid w:val="00420632"/>
    <w:rsid w:val="00420E81"/>
    <w:rsid w:val="00420FA8"/>
    <w:rsid w:val="00421B04"/>
    <w:rsid w:val="00421EA9"/>
    <w:rsid w:val="004240A3"/>
    <w:rsid w:val="00424F77"/>
    <w:rsid w:val="004271EC"/>
    <w:rsid w:val="00427C0B"/>
    <w:rsid w:val="00431B67"/>
    <w:rsid w:val="00434694"/>
    <w:rsid w:val="00435A58"/>
    <w:rsid w:val="00435A89"/>
    <w:rsid w:val="00435FC5"/>
    <w:rsid w:val="0043622E"/>
    <w:rsid w:val="004379E0"/>
    <w:rsid w:val="00442383"/>
    <w:rsid w:val="004446D6"/>
    <w:rsid w:val="00444D52"/>
    <w:rsid w:val="0044569E"/>
    <w:rsid w:val="00446148"/>
    <w:rsid w:val="004463EF"/>
    <w:rsid w:val="00447A25"/>
    <w:rsid w:val="004504FA"/>
    <w:rsid w:val="00450606"/>
    <w:rsid w:val="004519BB"/>
    <w:rsid w:val="004527F0"/>
    <w:rsid w:val="00454CF3"/>
    <w:rsid w:val="00456A92"/>
    <w:rsid w:val="00456F71"/>
    <w:rsid w:val="00460126"/>
    <w:rsid w:val="004605AE"/>
    <w:rsid w:val="00460673"/>
    <w:rsid w:val="004607C3"/>
    <w:rsid w:val="00460BBA"/>
    <w:rsid w:val="0046283E"/>
    <w:rsid w:val="00462B03"/>
    <w:rsid w:val="00464D1D"/>
    <w:rsid w:val="004653B3"/>
    <w:rsid w:val="004661FF"/>
    <w:rsid w:val="004665B2"/>
    <w:rsid w:val="0046681B"/>
    <w:rsid w:val="00466C85"/>
    <w:rsid w:val="00467966"/>
    <w:rsid w:val="00467AD8"/>
    <w:rsid w:val="004700C5"/>
    <w:rsid w:val="004704E5"/>
    <w:rsid w:val="0047333E"/>
    <w:rsid w:val="004744FA"/>
    <w:rsid w:val="00476E32"/>
    <w:rsid w:val="00477699"/>
    <w:rsid w:val="00481B4C"/>
    <w:rsid w:val="00481EA1"/>
    <w:rsid w:val="0048253F"/>
    <w:rsid w:val="00483B70"/>
    <w:rsid w:val="00484D45"/>
    <w:rsid w:val="00484EE8"/>
    <w:rsid w:val="0048583E"/>
    <w:rsid w:val="00485F00"/>
    <w:rsid w:val="0048603C"/>
    <w:rsid w:val="0048626A"/>
    <w:rsid w:val="004872FB"/>
    <w:rsid w:val="0048746C"/>
    <w:rsid w:val="0049143D"/>
    <w:rsid w:val="004915B0"/>
    <w:rsid w:val="0049216D"/>
    <w:rsid w:val="00492259"/>
    <w:rsid w:val="00492F43"/>
    <w:rsid w:val="0049338C"/>
    <w:rsid w:val="0049414C"/>
    <w:rsid w:val="0049567F"/>
    <w:rsid w:val="004A2505"/>
    <w:rsid w:val="004A2600"/>
    <w:rsid w:val="004A2D26"/>
    <w:rsid w:val="004A3603"/>
    <w:rsid w:val="004A37AC"/>
    <w:rsid w:val="004B0CAA"/>
    <w:rsid w:val="004B26F7"/>
    <w:rsid w:val="004B3730"/>
    <w:rsid w:val="004B41E6"/>
    <w:rsid w:val="004B4477"/>
    <w:rsid w:val="004B631F"/>
    <w:rsid w:val="004C1308"/>
    <w:rsid w:val="004C25DC"/>
    <w:rsid w:val="004C2940"/>
    <w:rsid w:val="004C5AF7"/>
    <w:rsid w:val="004C5FEE"/>
    <w:rsid w:val="004C63C4"/>
    <w:rsid w:val="004D0CB5"/>
    <w:rsid w:val="004D1DB8"/>
    <w:rsid w:val="004D3104"/>
    <w:rsid w:val="004D339F"/>
    <w:rsid w:val="004D35A9"/>
    <w:rsid w:val="004D4145"/>
    <w:rsid w:val="004D57AA"/>
    <w:rsid w:val="004D601D"/>
    <w:rsid w:val="004D6040"/>
    <w:rsid w:val="004D63DC"/>
    <w:rsid w:val="004D6D6B"/>
    <w:rsid w:val="004D7063"/>
    <w:rsid w:val="004E2FC9"/>
    <w:rsid w:val="004E340E"/>
    <w:rsid w:val="004E69FE"/>
    <w:rsid w:val="004E77A2"/>
    <w:rsid w:val="004E7CB3"/>
    <w:rsid w:val="004F04D1"/>
    <w:rsid w:val="004F1B66"/>
    <w:rsid w:val="004F2015"/>
    <w:rsid w:val="004F400A"/>
    <w:rsid w:val="004F5B9B"/>
    <w:rsid w:val="004F6254"/>
    <w:rsid w:val="004F6827"/>
    <w:rsid w:val="004F7A87"/>
    <w:rsid w:val="005014BA"/>
    <w:rsid w:val="00501735"/>
    <w:rsid w:val="005027E7"/>
    <w:rsid w:val="005030FC"/>
    <w:rsid w:val="00503271"/>
    <w:rsid w:val="00503A50"/>
    <w:rsid w:val="00505286"/>
    <w:rsid w:val="005052C2"/>
    <w:rsid w:val="00505F64"/>
    <w:rsid w:val="00513EDB"/>
    <w:rsid w:val="00514DEB"/>
    <w:rsid w:val="00515A75"/>
    <w:rsid w:val="0052055B"/>
    <w:rsid w:val="0052074F"/>
    <w:rsid w:val="0052158C"/>
    <w:rsid w:val="005227F4"/>
    <w:rsid w:val="00523424"/>
    <w:rsid w:val="00523DB0"/>
    <w:rsid w:val="005253FD"/>
    <w:rsid w:val="0052566B"/>
    <w:rsid w:val="00525B6F"/>
    <w:rsid w:val="00526DD8"/>
    <w:rsid w:val="0052797F"/>
    <w:rsid w:val="00531739"/>
    <w:rsid w:val="00532DB7"/>
    <w:rsid w:val="00533E49"/>
    <w:rsid w:val="00534F6B"/>
    <w:rsid w:val="005368C6"/>
    <w:rsid w:val="00536A43"/>
    <w:rsid w:val="00536AF3"/>
    <w:rsid w:val="005378F8"/>
    <w:rsid w:val="00537BA4"/>
    <w:rsid w:val="00537D34"/>
    <w:rsid w:val="005402BB"/>
    <w:rsid w:val="00540978"/>
    <w:rsid w:val="00540CC7"/>
    <w:rsid w:val="005410BA"/>
    <w:rsid w:val="005427B2"/>
    <w:rsid w:val="00544AA7"/>
    <w:rsid w:val="00545742"/>
    <w:rsid w:val="00545934"/>
    <w:rsid w:val="00546057"/>
    <w:rsid w:val="005478E6"/>
    <w:rsid w:val="00547DDE"/>
    <w:rsid w:val="00552282"/>
    <w:rsid w:val="00552A95"/>
    <w:rsid w:val="005537A5"/>
    <w:rsid w:val="0055380B"/>
    <w:rsid w:val="00554104"/>
    <w:rsid w:val="00554D99"/>
    <w:rsid w:val="005553E9"/>
    <w:rsid w:val="00555842"/>
    <w:rsid w:val="00555858"/>
    <w:rsid w:val="00556AD1"/>
    <w:rsid w:val="00557305"/>
    <w:rsid w:val="00560315"/>
    <w:rsid w:val="005604F4"/>
    <w:rsid w:val="00560B05"/>
    <w:rsid w:val="00560B8A"/>
    <w:rsid w:val="005641BC"/>
    <w:rsid w:val="00564209"/>
    <w:rsid w:val="00564766"/>
    <w:rsid w:val="00564D0E"/>
    <w:rsid w:val="005650A0"/>
    <w:rsid w:val="00565410"/>
    <w:rsid w:val="005656AF"/>
    <w:rsid w:val="005663AE"/>
    <w:rsid w:val="005667D9"/>
    <w:rsid w:val="00566AFB"/>
    <w:rsid w:val="00566D68"/>
    <w:rsid w:val="00566FD7"/>
    <w:rsid w:val="005677B1"/>
    <w:rsid w:val="00575451"/>
    <w:rsid w:val="00575AA2"/>
    <w:rsid w:val="00575D20"/>
    <w:rsid w:val="00575E3B"/>
    <w:rsid w:val="0057775F"/>
    <w:rsid w:val="00577DBB"/>
    <w:rsid w:val="00580159"/>
    <w:rsid w:val="0058029A"/>
    <w:rsid w:val="0058046F"/>
    <w:rsid w:val="005818FA"/>
    <w:rsid w:val="00583B0D"/>
    <w:rsid w:val="00585006"/>
    <w:rsid w:val="0058512F"/>
    <w:rsid w:val="0058534A"/>
    <w:rsid w:val="0058716E"/>
    <w:rsid w:val="0059208D"/>
    <w:rsid w:val="00592340"/>
    <w:rsid w:val="0059236E"/>
    <w:rsid w:val="005926CE"/>
    <w:rsid w:val="00592ADE"/>
    <w:rsid w:val="005936CD"/>
    <w:rsid w:val="005938E3"/>
    <w:rsid w:val="00594EE2"/>
    <w:rsid w:val="00595773"/>
    <w:rsid w:val="005975AE"/>
    <w:rsid w:val="005A0703"/>
    <w:rsid w:val="005A0AC6"/>
    <w:rsid w:val="005A1725"/>
    <w:rsid w:val="005A3E91"/>
    <w:rsid w:val="005A40A5"/>
    <w:rsid w:val="005A4633"/>
    <w:rsid w:val="005A4DCC"/>
    <w:rsid w:val="005A7619"/>
    <w:rsid w:val="005A7763"/>
    <w:rsid w:val="005B002E"/>
    <w:rsid w:val="005B1863"/>
    <w:rsid w:val="005B2993"/>
    <w:rsid w:val="005B30EC"/>
    <w:rsid w:val="005B35F6"/>
    <w:rsid w:val="005B3AF8"/>
    <w:rsid w:val="005B3DA7"/>
    <w:rsid w:val="005B4FE5"/>
    <w:rsid w:val="005B567D"/>
    <w:rsid w:val="005B7F9B"/>
    <w:rsid w:val="005C1DAE"/>
    <w:rsid w:val="005C2DE9"/>
    <w:rsid w:val="005C5674"/>
    <w:rsid w:val="005C5AD4"/>
    <w:rsid w:val="005C6262"/>
    <w:rsid w:val="005C6937"/>
    <w:rsid w:val="005C6B09"/>
    <w:rsid w:val="005D0ECE"/>
    <w:rsid w:val="005D15C3"/>
    <w:rsid w:val="005D27B5"/>
    <w:rsid w:val="005D28B8"/>
    <w:rsid w:val="005D3EDB"/>
    <w:rsid w:val="005D4B03"/>
    <w:rsid w:val="005D6511"/>
    <w:rsid w:val="005D6747"/>
    <w:rsid w:val="005D6F7A"/>
    <w:rsid w:val="005D7A1B"/>
    <w:rsid w:val="005D7A85"/>
    <w:rsid w:val="005E0AC4"/>
    <w:rsid w:val="005E11BE"/>
    <w:rsid w:val="005E1484"/>
    <w:rsid w:val="005E25AF"/>
    <w:rsid w:val="005E2B90"/>
    <w:rsid w:val="005E3BF3"/>
    <w:rsid w:val="005E61CF"/>
    <w:rsid w:val="005E6320"/>
    <w:rsid w:val="005E64AD"/>
    <w:rsid w:val="005E6F5B"/>
    <w:rsid w:val="005E7064"/>
    <w:rsid w:val="005F06C6"/>
    <w:rsid w:val="005F1BF7"/>
    <w:rsid w:val="005F1F6F"/>
    <w:rsid w:val="005F26A8"/>
    <w:rsid w:val="005F326E"/>
    <w:rsid w:val="005F32B2"/>
    <w:rsid w:val="005F3EB5"/>
    <w:rsid w:val="005F4DE2"/>
    <w:rsid w:val="005F6749"/>
    <w:rsid w:val="005F719C"/>
    <w:rsid w:val="00600595"/>
    <w:rsid w:val="00600B40"/>
    <w:rsid w:val="00601837"/>
    <w:rsid w:val="00601E08"/>
    <w:rsid w:val="0060239C"/>
    <w:rsid w:val="00602D7D"/>
    <w:rsid w:val="006037E5"/>
    <w:rsid w:val="00604E9C"/>
    <w:rsid w:val="00605B80"/>
    <w:rsid w:val="006063A4"/>
    <w:rsid w:val="00607BD4"/>
    <w:rsid w:val="006114DD"/>
    <w:rsid w:val="006124F9"/>
    <w:rsid w:val="0061299B"/>
    <w:rsid w:val="0061339B"/>
    <w:rsid w:val="00614F29"/>
    <w:rsid w:val="00615BE0"/>
    <w:rsid w:val="00615D29"/>
    <w:rsid w:val="0061722F"/>
    <w:rsid w:val="006172AC"/>
    <w:rsid w:val="006200FD"/>
    <w:rsid w:val="00620477"/>
    <w:rsid w:val="00621B77"/>
    <w:rsid w:val="00622B9C"/>
    <w:rsid w:val="006236A8"/>
    <w:rsid w:val="00623724"/>
    <w:rsid w:val="00623B57"/>
    <w:rsid w:val="00623D7B"/>
    <w:rsid w:val="00623F7F"/>
    <w:rsid w:val="0062648C"/>
    <w:rsid w:val="00626653"/>
    <w:rsid w:val="006279A8"/>
    <w:rsid w:val="00630366"/>
    <w:rsid w:val="0063061E"/>
    <w:rsid w:val="00631E02"/>
    <w:rsid w:val="00633259"/>
    <w:rsid w:val="006332EE"/>
    <w:rsid w:val="00636322"/>
    <w:rsid w:val="00636882"/>
    <w:rsid w:val="006372A9"/>
    <w:rsid w:val="00637929"/>
    <w:rsid w:val="00641435"/>
    <w:rsid w:val="00642A95"/>
    <w:rsid w:val="00645288"/>
    <w:rsid w:val="00645FAF"/>
    <w:rsid w:val="00646AFF"/>
    <w:rsid w:val="00646DF4"/>
    <w:rsid w:val="00647671"/>
    <w:rsid w:val="00647A67"/>
    <w:rsid w:val="00651CC9"/>
    <w:rsid w:val="00652554"/>
    <w:rsid w:val="00652C34"/>
    <w:rsid w:val="00652FAC"/>
    <w:rsid w:val="006533FC"/>
    <w:rsid w:val="00653709"/>
    <w:rsid w:val="00654347"/>
    <w:rsid w:val="00654765"/>
    <w:rsid w:val="00655FBB"/>
    <w:rsid w:val="00657D02"/>
    <w:rsid w:val="00660E9B"/>
    <w:rsid w:val="0066131D"/>
    <w:rsid w:val="006614FC"/>
    <w:rsid w:val="00661D73"/>
    <w:rsid w:val="00662420"/>
    <w:rsid w:val="006635DA"/>
    <w:rsid w:val="006635DE"/>
    <w:rsid w:val="00664595"/>
    <w:rsid w:val="006645A4"/>
    <w:rsid w:val="0066466D"/>
    <w:rsid w:val="0066729A"/>
    <w:rsid w:val="0067164B"/>
    <w:rsid w:val="00672B19"/>
    <w:rsid w:val="0067300D"/>
    <w:rsid w:val="00673C95"/>
    <w:rsid w:val="0067470A"/>
    <w:rsid w:val="00675DF2"/>
    <w:rsid w:val="00676B71"/>
    <w:rsid w:val="00681217"/>
    <w:rsid w:val="00683C91"/>
    <w:rsid w:val="0068439F"/>
    <w:rsid w:val="006849F5"/>
    <w:rsid w:val="00684DD5"/>
    <w:rsid w:val="006854E8"/>
    <w:rsid w:val="00685CDF"/>
    <w:rsid w:val="006865AB"/>
    <w:rsid w:val="006876B7"/>
    <w:rsid w:val="00696CDC"/>
    <w:rsid w:val="00697054"/>
    <w:rsid w:val="006A27D1"/>
    <w:rsid w:val="006A29E8"/>
    <w:rsid w:val="006A2ECF"/>
    <w:rsid w:val="006A3661"/>
    <w:rsid w:val="006A36FC"/>
    <w:rsid w:val="006A4B96"/>
    <w:rsid w:val="006A579E"/>
    <w:rsid w:val="006A633C"/>
    <w:rsid w:val="006A717A"/>
    <w:rsid w:val="006A72E4"/>
    <w:rsid w:val="006A7CBC"/>
    <w:rsid w:val="006B1C1E"/>
    <w:rsid w:val="006B24B3"/>
    <w:rsid w:val="006B28CF"/>
    <w:rsid w:val="006B4124"/>
    <w:rsid w:val="006B44D8"/>
    <w:rsid w:val="006B4674"/>
    <w:rsid w:val="006B4C48"/>
    <w:rsid w:val="006B5412"/>
    <w:rsid w:val="006B5B00"/>
    <w:rsid w:val="006B6CEE"/>
    <w:rsid w:val="006B6D68"/>
    <w:rsid w:val="006B7084"/>
    <w:rsid w:val="006C064C"/>
    <w:rsid w:val="006C151F"/>
    <w:rsid w:val="006C181C"/>
    <w:rsid w:val="006C18E6"/>
    <w:rsid w:val="006C3797"/>
    <w:rsid w:val="006C3DCC"/>
    <w:rsid w:val="006C61CC"/>
    <w:rsid w:val="006C7F9E"/>
    <w:rsid w:val="006C7FBF"/>
    <w:rsid w:val="006D0A9D"/>
    <w:rsid w:val="006D0DA8"/>
    <w:rsid w:val="006D111F"/>
    <w:rsid w:val="006D19D4"/>
    <w:rsid w:val="006D2CD7"/>
    <w:rsid w:val="006D387D"/>
    <w:rsid w:val="006D4206"/>
    <w:rsid w:val="006D4952"/>
    <w:rsid w:val="006D4961"/>
    <w:rsid w:val="006E04C8"/>
    <w:rsid w:val="006E0C39"/>
    <w:rsid w:val="006E1A09"/>
    <w:rsid w:val="006E21E8"/>
    <w:rsid w:val="006E407C"/>
    <w:rsid w:val="006E421C"/>
    <w:rsid w:val="006E5919"/>
    <w:rsid w:val="006E6DA0"/>
    <w:rsid w:val="006E6FD0"/>
    <w:rsid w:val="006E7854"/>
    <w:rsid w:val="006F0B14"/>
    <w:rsid w:val="006F16FC"/>
    <w:rsid w:val="006F26B9"/>
    <w:rsid w:val="006F29C4"/>
    <w:rsid w:val="006F3347"/>
    <w:rsid w:val="006F3D0E"/>
    <w:rsid w:val="006F5C2C"/>
    <w:rsid w:val="006F6793"/>
    <w:rsid w:val="006F7769"/>
    <w:rsid w:val="006F7967"/>
    <w:rsid w:val="00700B63"/>
    <w:rsid w:val="00701FCC"/>
    <w:rsid w:val="007020ED"/>
    <w:rsid w:val="00702A70"/>
    <w:rsid w:val="00704C74"/>
    <w:rsid w:val="00705665"/>
    <w:rsid w:val="0070622C"/>
    <w:rsid w:val="00706331"/>
    <w:rsid w:val="00706476"/>
    <w:rsid w:val="00707187"/>
    <w:rsid w:val="00710466"/>
    <w:rsid w:val="00711312"/>
    <w:rsid w:val="007132B0"/>
    <w:rsid w:val="00713D81"/>
    <w:rsid w:val="00714C8B"/>
    <w:rsid w:val="00715DD0"/>
    <w:rsid w:val="00715E56"/>
    <w:rsid w:val="0071609E"/>
    <w:rsid w:val="007163D3"/>
    <w:rsid w:val="00716834"/>
    <w:rsid w:val="007172AD"/>
    <w:rsid w:val="007179A0"/>
    <w:rsid w:val="007179C1"/>
    <w:rsid w:val="00720771"/>
    <w:rsid w:val="00721A8B"/>
    <w:rsid w:val="00721EFE"/>
    <w:rsid w:val="0072413B"/>
    <w:rsid w:val="00724794"/>
    <w:rsid w:val="00725061"/>
    <w:rsid w:val="0072582C"/>
    <w:rsid w:val="007260C0"/>
    <w:rsid w:val="00726D5B"/>
    <w:rsid w:val="00727756"/>
    <w:rsid w:val="0073050F"/>
    <w:rsid w:val="00730645"/>
    <w:rsid w:val="007331A8"/>
    <w:rsid w:val="00733C6B"/>
    <w:rsid w:val="00735C0E"/>
    <w:rsid w:val="0073635F"/>
    <w:rsid w:val="00736BFD"/>
    <w:rsid w:val="00736C0A"/>
    <w:rsid w:val="007403E8"/>
    <w:rsid w:val="0074081F"/>
    <w:rsid w:val="00742422"/>
    <w:rsid w:val="00742792"/>
    <w:rsid w:val="00743B28"/>
    <w:rsid w:val="00743EB3"/>
    <w:rsid w:val="0074407C"/>
    <w:rsid w:val="00746989"/>
    <w:rsid w:val="0075049A"/>
    <w:rsid w:val="00752590"/>
    <w:rsid w:val="00753660"/>
    <w:rsid w:val="00755F9F"/>
    <w:rsid w:val="00756281"/>
    <w:rsid w:val="00756552"/>
    <w:rsid w:val="00757E90"/>
    <w:rsid w:val="007615EA"/>
    <w:rsid w:val="0076164C"/>
    <w:rsid w:val="00761D34"/>
    <w:rsid w:val="0076266C"/>
    <w:rsid w:val="0076274D"/>
    <w:rsid w:val="00762A1A"/>
    <w:rsid w:val="00762F6B"/>
    <w:rsid w:val="0076398E"/>
    <w:rsid w:val="00764A2A"/>
    <w:rsid w:val="007652D3"/>
    <w:rsid w:val="0076552F"/>
    <w:rsid w:val="007657AB"/>
    <w:rsid w:val="0077093B"/>
    <w:rsid w:val="00772AC9"/>
    <w:rsid w:val="00772DB4"/>
    <w:rsid w:val="0077355D"/>
    <w:rsid w:val="00773A57"/>
    <w:rsid w:val="00773B4A"/>
    <w:rsid w:val="00775AE3"/>
    <w:rsid w:val="00777DA7"/>
    <w:rsid w:val="00777EBE"/>
    <w:rsid w:val="0078265C"/>
    <w:rsid w:val="0078294D"/>
    <w:rsid w:val="00782E2C"/>
    <w:rsid w:val="0078405F"/>
    <w:rsid w:val="0078541A"/>
    <w:rsid w:val="00785A72"/>
    <w:rsid w:val="00785BFA"/>
    <w:rsid w:val="00787C17"/>
    <w:rsid w:val="007900CD"/>
    <w:rsid w:val="00790720"/>
    <w:rsid w:val="00790FF5"/>
    <w:rsid w:val="00791105"/>
    <w:rsid w:val="00792CC7"/>
    <w:rsid w:val="00793C21"/>
    <w:rsid w:val="007958AA"/>
    <w:rsid w:val="007968D6"/>
    <w:rsid w:val="007A00A3"/>
    <w:rsid w:val="007A02C6"/>
    <w:rsid w:val="007A0459"/>
    <w:rsid w:val="007A2340"/>
    <w:rsid w:val="007A35AB"/>
    <w:rsid w:val="007A3B50"/>
    <w:rsid w:val="007A3DA7"/>
    <w:rsid w:val="007A4388"/>
    <w:rsid w:val="007A482C"/>
    <w:rsid w:val="007A4EF4"/>
    <w:rsid w:val="007A5163"/>
    <w:rsid w:val="007A5833"/>
    <w:rsid w:val="007A62CF"/>
    <w:rsid w:val="007A6A61"/>
    <w:rsid w:val="007A7822"/>
    <w:rsid w:val="007B129A"/>
    <w:rsid w:val="007B305D"/>
    <w:rsid w:val="007B40B9"/>
    <w:rsid w:val="007B47D1"/>
    <w:rsid w:val="007B5056"/>
    <w:rsid w:val="007B5A48"/>
    <w:rsid w:val="007B61CC"/>
    <w:rsid w:val="007B630D"/>
    <w:rsid w:val="007B6D4D"/>
    <w:rsid w:val="007B6D52"/>
    <w:rsid w:val="007B70C2"/>
    <w:rsid w:val="007B75D0"/>
    <w:rsid w:val="007B7CD1"/>
    <w:rsid w:val="007C01FF"/>
    <w:rsid w:val="007C273B"/>
    <w:rsid w:val="007C30CA"/>
    <w:rsid w:val="007C32EF"/>
    <w:rsid w:val="007C3670"/>
    <w:rsid w:val="007C4BC1"/>
    <w:rsid w:val="007C52F5"/>
    <w:rsid w:val="007C715F"/>
    <w:rsid w:val="007C7B64"/>
    <w:rsid w:val="007D024F"/>
    <w:rsid w:val="007D0468"/>
    <w:rsid w:val="007D0650"/>
    <w:rsid w:val="007D0D3B"/>
    <w:rsid w:val="007D2FE5"/>
    <w:rsid w:val="007D3336"/>
    <w:rsid w:val="007D4340"/>
    <w:rsid w:val="007D5BCA"/>
    <w:rsid w:val="007D5BE9"/>
    <w:rsid w:val="007D6776"/>
    <w:rsid w:val="007D77C0"/>
    <w:rsid w:val="007D78E3"/>
    <w:rsid w:val="007E1D6D"/>
    <w:rsid w:val="007E2634"/>
    <w:rsid w:val="007E46A5"/>
    <w:rsid w:val="007E5E2B"/>
    <w:rsid w:val="007E5ED1"/>
    <w:rsid w:val="007F02B5"/>
    <w:rsid w:val="007F0635"/>
    <w:rsid w:val="007F0659"/>
    <w:rsid w:val="007F266E"/>
    <w:rsid w:val="007F28AA"/>
    <w:rsid w:val="007F31F0"/>
    <w:rsid w:val="007F37A7"/>
    <w:rsid w:val="007F37BD"/>
    <w:rsid w:val="007F4263"/>
    <w:rsid w:val="007F45A2"/>
    <w:rsid w:val="007F71E1"/>
    <w:rsid w:val="007F789B"/>
    <w:rsid w:val="007F7986"/>
    <w:rsid w:val="00800441"/>
    <w:rsid w:val="00800649"/>
    <w:rsid w:val="00800AEF"/>
    <w:rsid w:val="00801772"/>
    <w:rsid w:val="00801B0D"/>
    <w:rsid w:val="00801B1A"/>
    <w:rsid w:val="00801CFB"/>
    <w:rsid w:val="0080241D"/>
    <w:rsid w:val="00803BDC"/>
    <w:rsid w:val="00803E92"/>
    <w:rsid w:val="00804479"/>
    <w:rsid w:val="008044D1"/>
    <w:rsid w:val="00804E8C"/>
    <w:rsid w:val="00806815"/>
    <w:rsid w:val="00810851"/>
    <w:rsid w:val="00811FCB"/>
    <w:rsid w:val="008122A1"/>
    <w:rsid w:val="00812349"/>
    <w:rsid w:val="00813DBD"/>
    <w:rsid w:val="00814AFD"/>
    <w:rsid w:val="008152BF"/>
    <w:rsid w:val="00815332"/>
    <w:rsid w:val="00816352"/>
    <w:rsid w:val="00816522"/>
    <w:rsid w:val="008204D6"/>
    <w:rsid w:val="00821FFC"/>
    <w:rsid w:val="00822212"/>
    <w:rsid w:val="00823B02"/>
    <w:rsid w:val="00826BF2"/>
    <w:rsid w:val="00827F1D"/>
    <w:rsid w:val="00832814"/>
    <w:rsid w:val="00832954"/>
    <w:rsid w:val="00832BFB"/>
    <w:rsid w:val="00832D93"/>
    <w:rsid w:val="00833402"/>
    <w:rsid w:val="008336BF"/>
    <w:rsid w:val="0083501C"/>
    <w:rsid w:val="00835FF7"/>
    <w:rsid w:val="00836219"/>
    <w:rsid w:val="00836BB3"/>
    <w:rsid w:val="008375C9"/>
    <w:rsid w:val="0083771A"/>
    <w:rsid w:val="00841F5F"/>
    <w:rsid w:val="008423F7"/>
    <w:rsid w:val="00843C52"/>
    <w:rsid w:val="00844BE7"/>
    <w:rsid w:val="00844BF9"/>
    <w:rsid w:val="00845852"/>
    <w:rsid w:val="00847988"/>
    <w:rsid w:val="008479A6"/>
    <w:rsid w:val="00850189"/>
    <w:rsid w:val="0085148D"/>
    <w:rsid w:val="008522E7"/>
    <w:rsid w:val="0085397C"/>
    <w:rsid w:val="00856821"/>
    <w:rsid w:val="008574B0"/>
    <w:rsid w:val="00857857"/>
    <w:rsid w:val="00857ABB"/>
    <w:rsid w:val="00857C27"/>
    <w:rsid w:val="00857D7D"/>
    <w:rsid w:val="00860558"/>
    <w:rsid w:val="00860696"/>
    <w:rsid w:val="00863072"/>
    <w:rsid w:val="00864479"/>
    <w:rsid w:val="008645C5"/>
    <w:rsid w:val="00865274"/>
    <w:rsid w:val="00865637"/>
    <w:rsid w:val="00865B7A"/>
    <w:rsid w:val="00865F94"/>
    <w:rsid w:val="008666C0"/>
    <w:rsid w:val="00867093"/>
    <w:rsid w:val="008707C0"/>
    <w:rsid w:val="008711C8"/>
    <w:rsid w:val="00871941"/>
    <w:rsid w:val="00875956"/>
    <w:rsid w:val="008767A9"/>
    <w:rsid w:val="00877C25"/>
    <w:rsid w:val="00881217"/>
    <w:rsid w:val="00883540"/>
    <w:rsid w:val="00884BD2"/>
    <w:rsid w:val="00885D17"/>
    <w:rsid w:val="0089039D"/>
    <w:rsid w:val="00890FEB"/>
    <w:rsid w:val="00891417"/>
    <w:rsid w:val="00892BD3"/>
    <w:rsid w:val="00895A19"/>
    <w:rsid w:val="008A26E9"/>
    <w:rsid w:val="008A4195"/>
    <w:rsid w:val="008A48D4"/>
    <w:rsid w:val="008A7030"/>
    <w:rsid w:val="008A70BD"/>
    <w:rsid w:val="008B067D"/>
    <w:rsid w:val="008B347B"/>
    <w:rsid w:val="008B39E8"/>
    <w:rsid w:val="008B55D4"/>
    <w:rsid w:val="008B6E1B"/>
    <w:rsid w:val="008C0B15"/>
    <w:rsid w:val="008C0B3D"/>
    <w:rsid w:val="008C0F8D"/>
    <w:rsid w:val="008C15CB"/>
    <w:rsid w:val="008C1C0E"/>
    <w:rsid w:val="008C376F"/>
    <w:rsid w:val="008C562A"/>
    <w:rsid w:val="008C6B28"/>
    <w:rsid w:val="008C6CE7"/>
    <w:rsid w:val="008C7312"/>
    <w:rsid w:val="008C7F4B"/>
    <w:rsid w:val="008D0C0B"/>
    <w:rsid w:val="008D0D06"/>
    <w:rsid w:val="008D0ED2"/>
    <w:rsid w:val="008D1A30"/>
    <w:rsid w:val="008D29BD"/>
    <w:rsid w:val="008D4EE8"/>
    <w:rsid w:val="008D57F1"/>
    <w:rsid w:val="008D5D25"/>
    <w:rsid w:val="008D688D"/>
    <w:rsid w:val="008D7482"/>
    <w:rsid w:val="008D7AA4"/>
    <w:rsid w:val="008E016E"/>
    <w:rsid w:val="008E106C"/>
    <w:rsid w:val="008E163D"/>
    <w:rsid w:val="008E2F19"/>
    <w:rsid w:val="008E3C7A"/>
    <w:rsid w:val="008E3F30"/>
    <w:rsid w:val="008E58FA"/>
    <w:rsid w:val="008E656F"/>
    <w:rsid w:val="008E699D"/>
    <w:rsid w:val="008E7A73"/>
    <w:rsid w:val="008E7ADF"/>
    <w:rsid w:val="008F0383"/>
    <w:rsid w:val="008F06AC"/>
    <w:rsid w:val="008F102F"/>
    <w:rsid w:val="008F17E1"/>
    <w:rsid w:val="008F29CB"/>
    <w:rsid w:val="008F366B"/>
    <w:rsid w:val="008F3E56"/>
    <w:rsid w:val="008F63EF"/>
    <w:rsid w:val="008F78A7"/>
    <w:rsid w:val="008F7E38"/>
    <w:rsid w:val="009009AA"/>
    <w:rsid w:val="00901CD0"/>
    <w:rsid w:val="00904155"/>
    <w:rsid w:val="00904A8E"/>
    <w:rsid w:val="0090747C"/>
    <w:rsid w:val="0090779B"/>
    <w:rsid w:val="00910B15"/>
    <w:rsid w:val="00911436"/>
    <w:rsid w:val="00911E40"/>
    <w:rsid w:val="00912681"/>
    <w:rsid w:val="009148BF"/>
    <w:rsid w:val="00915974"/>
    <w:rsid w:val="00915C62"/>
    <w:rsid w:val="0091647D"/>
    <w:rsid w:val="00916FB5"/>
    <w:rsid w:val="009226B1"/>
    <w:rsid w:val="00922AD2"/>
    <w:rsid w:val="009236EA"/>
    <w:rsid w:val="00925140"/>
    <w:rsid w:val="009252BC"/>
    <w:rsid w:val="009300C2"/>
    <w:rsid w:val="00930707"/>
    <w:rsid w:val="0093297D"/>
    <w:rsid w:val="00933E64"/>
    <w:rsid w:val="0093492E"/>
    <w:rsid w:val="00937CA5"/>
    <w:rsid w:val="00940B66"/>
    <w:rsid w:val="00940E37"/>
    <w:rsid w:val="0094152F"/>
    <w:rsid w:val="009420CB"/>
    <w:rsid w:val="00942F11"/>
    <w:rsid w:val="009438DD"/>
    <w:rsid w:val="00943FC8"/>
    <w:rsid w:val="0094769E"/>
    <w:rsid w:val="00950F10"/>
    <w:rsid w:val="00952530"/>
    <w:rsid w:val="00956040"/>
    <w:rsid w:val="00957397"/>
    <w:rsid w:val="00960B2B"/>
    <w:rsid w:val="00960F96"/>
    <w:rsid w:val="009615DA"/>
    <w:rsid w:val="00963F0B"/>
    <w:rsid w:val="0096426F"/>
    <w:rsid w:val="009676C9"/>
    <w:rsid w:val="0096790F"/>
    <w:rsid w:val="0097011F"/>
    <w:rsid w:val="00971ABE"/>
    <w:rsid w:val="009722C3"/>
    <w:rsid w:val="00972F34"/>
    <w:rsid w:val="009737B5"/>
    <w:rsid w:val="0097540C"/>
    <w:rsid w:val="00975E85"/>
    <w:rsid w:val="00976268"/>
    <w:rsid w:val="00977446"/>
    <w:rsid w:val="009779F1"/>
    <w:rsid w:val="00977ACD"/>
    <w:rsid w:val="00977CDB"/>
    <w:rsid w:val="009811D1"/>
    <w:rsid w:val="009812F1"/>
    <w:rsid w:val="009821B5"/>
    <w:rsid w:val="00982707"/>
    <w:rsid w:val="0098337D"/>
    <w:rsid w:val="00983AB9"/>
    <w:rsid w:val="00984488"/>
    <w:rsid w:val="00984C66"/>
    <w:rsid w:val="00986F3B"/>
    <w:rsid w:val="009879AE"/>
    <w:rsid w:val="00990D2E"/>
    <w:rsid w:val="00991E12"/>
    <w:rsid w:val="009920BA"/>
    <w:rsid w:val="00992640"/>
    <w:rsid w:val="00994BDF"/>
    <w:rsid w:val="009959A3"/>
    <w:rsid w:val="00995B27"/>
    <w:rsid w:val="009960B4"/>
    <w:rsid w:val="009A0AE0"/>
    <w:rsid w:val="009A0B73"/>
    <w:rsid w:val="009A257C"/>
    <w:rsid w:val="009A262A"/>
    <w:rsid w:val="009A3A5D"/>
    <w:rsid w:val="009A42F0"/>
    <w:rsid w:val="009A6C44"/>
    <w:rsid w:val="009A6E95"/>
    <w:rsid w:val="009A6F50"/>
    <w:rsid w:val="009A75C6"/>
    <w:rsid w:val="009A78E7"/>
    <w:rsid w:val="009A7DB6"/>
    <w:rsid w:val="009B096B"/>
    <w:rsid w:val="009B193B"/>
    <w:rsid w:val="009B424A"/>
    <w:rsid w:val="009B4457"/>
    <w:rsid w:val="009B4F1D"/>
    <w:rsid w:val="009B5CE4"/>
    <w:rsid w:val="009B7E39"/>
    <w:rsid w:val="009C35E4"/>
    <w:rsid w:val="009C41AD"/>
    <w:rsid w:val="009C47A8"/>
    <w:rsid w:val="009C49DB"/>
    <w:rsid w:val="009C5086"/>
    <w:rsid w:val="009C5536"/>
    <w:rsid w:val="009C562C"/>
    <w:rsid w:val="009C5BE3"/>
    <w:rsid w:val="009D0723"/>
    <w:rsid w:val="009D0812"/>
    <w:rsid w:val="009D2C7F"/>
    <w:rsid w:val="009D2E9A"/>
    <w:rsid w:val="009D329A"/>
    <w:rsid w:val="009D3335"/>
    <w:rsid w:val="009D3598"/>
    <w:rsid w:val="009D37A1"/>
    <w:rsid w:val="009D3A83"/>
    <w:rsid w:val="009D3B8E"/>
    <w:rsid w:val="009D43CA"/>
    <w:rsid w:val="009D5CEB"/>
    <w:rsid w:val="009D664D"/>
    <w:rsid w:val="009D7518"/>
    <w:rsid w:val="009D7AFF"/>
    <w:rsid w:val="009D7BDA"/>
    <w:rsid w:val="009D7D07"/>
    <w:rsid w:val="009E02B6"/>
    <w:rsid w:val="009E05F1"/>
    <w:rsid w:val="009E2CFE"/>
    <w:rsid w:val="009E2E5F"/>
    <w:rsid w:val="009E347A"/>
    <w:rsid w:val="009E3738"/>
    <w:rsid w:val="009E4625"/>
    <w:rsid w:val="009F325C"/>
    <w:rsid w:val="009F34BA"/>
    <w:rsid w:val="009F6B01"/>
    <w:rsid w:val="009F7D7C"/>
    <w:rsid w:val="00A00CC6"/>
    <w:rsid w:val="00A00FE5"/>
    <w:rsid w:val="00A01BBA"/>
    <w:rsid w:val="00A0333A"/>
    <w:rsid w:val="00A04380"/>
    <w:rsid w:val="00A055FC"/>
    <w:rsid w:val="00A0717A"/>
    <w:rsid w:val="00A103EB"/>
    <w:rsid w:val="00A111BB"/>
    <w:rsid w:val="00A114EF"/>
    <w:rsid w:val="00A11669"/>
    <w:rsid w:val="00A13B6F"/>
    <w:rsid w:val="00A155A2"/>
    <w:rsid w:val="00A16D0E"/>
    <w:rsid w:val="00A20F8E"/>
    <w:rsid w:val="00A2120B"/>
    <w:rsid w:val="00A212E6"/>
    <w:rsid w:val="00A2245C"/>
    <w:rsid w:val="00A22964"/>
    <w:rsid w:val="00A238B5"/>
    <w:rsid w:val="00A23E89"/>
    <w:rsid w:val="00A30995"/>
    <w:rsid w:val="00A323C3"/>
    <w:rsid w:val="00A32DCD"/>
    <w:rsid w:val="00A3377B"/>
    <w:rsid w:val="00A33BE3"/>
    <w:rsid w:val="00A3411E"/>
    <w:rsid w:val="00A352E1"/>
    <w:rsid w:val="00A360BC"/>
    <w:rsid w:val="00A3694E"/>
    <w:rsid w:val="00A36A1D"/>
    <w:rsid w:val="00A36C49"/>
    <w:rsid w:val="00A40110"/>
    <w:rsid w:val="00A42550"/>
    <w:rsid w:val="00A426C8"/>
    <w:rsid w:val="00A44B10"/>
    <w:rsid w:val="00A44CE5"/>
    <w:rsid w:val="00A45009"/>
    <w:rsid w:val="00A458CE"/>
    <w:rsid w:val="00A45BBF"/>
    <w:rsid w:val="00A46B2C"/>
    <w:rsid w:val="00A4709C"/>
    <w:rsid w:val="00A470F7"/>
    <w:rsid w:val="00A47B48"/>
    <w:rsid w:val="00A511B1"/>
    <w:rsid w:val="00A511CE"/>
    <w:rsid w:val="00A51862"/>
    <w:rsid w:val="00A52AF2"/>
    <w:rsid w:val="00A53525"/>
    <w:rsid w:val="00A53D66"/>
    <w:rsid w:val="00A55830"/>
    <w:rsid w:val="00A57D5A"/>
    <w:rsid w:val="00A60A68"/>
    <w:rsid w:val="00A60D71"/>
    <w:rsid w:val="00A61C61"/>
    <w:rsid w:val="00A6265D"/>
    <w:rsid w:val="00A62776"/>
    <w:rsid w:val="00A6431E"/>
    <w:rsid w:val="00A64460"/>
    <w:rsid w:val="00A66580"/>
    <w:rsid w:val="00A66D34"/>
    <w:rsid w:val="00A67F61"/>
    <w:rsid w:val="00A713D1"/>
    <w:rsid w:val="00A714DC"/>
    <w:rsid w:val="00A717D1"/>
    <w:rsid w:val="00A72EBB"/>
    <w:rsid w:val="00A731A6"/>
    <w:rsid w:val="00A74055"/>
    <w:rsid w:val="00A75FF5"/>
    <w:rsid w:val="00A76831"/>
    <w:rsid w:val="00A80407"/>
    <w:rsid w:val="00A8126C"/>
    <w:rsid w:val="00A81366"/>
    <w:rsid w:val="00A84823"/>
    <w:rsid w:val="00A84FFA"/>
    <w:rsid w:val="00A85136"/>
    <w:rsid w:val="00A87CC8"/>
    <w:rsid w:val="00A940E3"/>
    <w:rsid w:val="00A94D72"/>
    <w:rsid w:val="00A971C9"/>
    <w:rsid w:val="00A97B56"/>
    <w:rsid w:val="00AA09EF"/>
    <w:rsid w:val="00AA0B9C"/>
    <w:rsid w:val="00AA121E"/>
    <w:rsid w:val="00AA35CE"/>
    <w:rsid w:val="00AA38D1"/>
    <w:rsid w:val="00AA4724"/>
    <w:rsid w:val="00AA6570"/>
    <w:rsid w:val="00AA6764"/>
    <w:rsid w:val="00AB07EB"/>
    <w:rsid w:val="00AB1E51"/>
    <w:rsid w:val="00AB205D"/>
    <w:rsid w:val="00AB2209"/>
    <w:rsid w:val="00AB2D92"/>
    <w:rsid w:val="00AB4173"/>
    <w:rsid w:val="00AB5D59"/>
    <w:rsid w:val="00AC0B33"/>
    <w:rsid w:val="00AC1E19"/>
    <w:rsid w:val="00AC32CA"/>
    <w:rsid w:val="00AC3312"/>
    <w:rsid w:val="00AC3BF6"/>
    <w:rsid w:val="00AC3EC1"/>
    <w:rsid w:val="00AC5206"/>
    <w:rsid w:val="00AC7906"/>
    <w:rsid w:val="00AD0440"/>
    <w:rsid w:val="00AD1CDC"/>
    <w:rsid w:val="00AD5029"/>
    <w:rsid w:val="00AD7185"/>
    <w:rsid w:val="00AD747F"/>
    <w:rsid w:val="00AD77DF"/>
    <w:rsid w:val="00AE17D6"/>
    <w:rsid w:val="00AE1951"/>
    <w:rsid w:val="00AE1DBE"/>
    <w:rsid w:val="00AE2234"/>
    <w:rsid w:val="00AE2264"/>
    <w:rsid w:val="00AE2DF9"/>
    <w:rsid w:val="00AE4802"/>
    <w:rsid w:val="00AE4ABF"/>
    <w:rsid w:val="00AE50E3"/>
    <w:rsid w:val="00AE68FC"/>
    <w:rsid w:val="00AE6CFA"/>
    <w:rsid w:val="00AE709F"/>
    <w:rsid w:val="00AF03C7"/>
    <w:rsid w:val="00AF03FA"/>
    <w:rsid w:val="00AF2A0B"/>
    <w:rsid w:val="00AF3457"/>
    <w:rsid w:val="00AF4E3A"/>
    <w:rsid w:val="00AF5390"/>
    <w:rsid w:val="00AF7AC5"/>
    <w:rsid w:val="00AF7C15"/>
    <w:rsid w:val="00B00312"/>
    <w:rsid w:val="00B00519"/>
    <w:rsid w:val="00B010BE"/>
    <w:rsid w:val="00B0132B"/>
    <w:rsid w:val="00B01738"/>
    <w:rsid w:val="00B019B6"/>
    <w:rsid w:val="00B01C1C"/>
    <w:rsid w:val="00B01C52"/>
    <w:rsid w:val="00B023FF"/>
    <w:rsid w:val="00B030AE"/>
    <w:rsid w:val="00B0360A"/>
    <w:rsid w:val="00B03931"/>
    <w:rsid w:val="00B05363"/>
    <w:rsid w:val="00B0586A"/>
    <w:rsid w:val="00B05BAA"/>
    <w:rsid w:val="00B06256"/>
    <w:rsid w:val="00B100A0"/>
    <w:rsid w:val="00B104CC"/>
    <w:rsid w:val="00B1098D"/>
    <w:rsid w:val="00B10F54"/>
    <w:rsid w:val="00B11130"/>
    <w:rsid w:val="00B1384D"/>
    <w:rsid w:val="00B139B0"/>
    <w:rsid w:val="00B1688C"/>
    <w:rsid w:val="00B16DF7"/>
    <w:rsid w:val="00B2111E"/>
    <w:rsid w:val="00B215E1"/>
    <w:rsid w:val="00B21F32"/>
    <w:rsid w:val="00B257FC"/>
    <w:rsid w:val="00B26937"/>
    <w:rsid w:val="00B27424"/>
    <w:rsid w:val="00B27C79"/>
    <w:rsid w:val="00B34EC3"/>
    <w:rsid w:val="00B3560C"/>
    <w:rsid w:val="00B36298"/>
    <w:rsid w:val="00B36B4A"/>
    <w:rsid w:val="00B40FF5"/>
    <w:rsid w:val="00B41D37"/>
    <w:rsid w:val="00B42314"/>
    <w:rsid w:val="00B4231C"/>
    <w:rsid w:val="00B4309D"/>
    <w:rsid w:val="00B43132"/>
    <w:rsid w:val="00B43871"/>
    <w:rsid w:val="00B43EA6"/>
    <w:rsid w:val="00B444DA"/>
    <w:rsid w:val="00B44E4C"/>
    <w:rsid w:val="00B44F77"/>
    <w:rsid w:val="00B457CC"/>
    <w:rsid w:val="00B45CED"/>
    <w:rsid w:val="00B46EB6"/>
    <w:rsid w:val="00B47719"/>
    <w:rsid w:val="00B50385"/>
    <w:rsid w:val="00B50D76"/>
    <w:rsid w:val="00B511B4"/>
    <w:rsid w:val="00B546C1"/>
    <w:rsid w:val="00B54B51"/>
    <w:rsid w:val="00B55CFA"/>
    <w:rsid w:val="00B561A0"/>
    <w:rsid w:val="00B56A85"/>
    <w:rsid w:val="00B575B1"/>
    <w:rsid w:val="00B57FF7"/>
    <w:rsid w:val="00B6039B"/>
    <w:rsid w:val="00B60B71"/>
    <w:rsid w:val="00B61C9B"/>
    <w:rsid w:val="00B62FF6"/>
    <w:rsid w:val="00B64CF3"/>
    <w:rsid w:val="00B6527A"/>
    <w:rsid w:val="00B656E0"/>
    <w:rsid w:val="00B664F7"/>
    <w:rsid w:val="00B66F5F"/>
    <w:rsid w:val="00B67407"/>
    <w:rsid w:val="00B67B0E"/>
    <w:rsid w:val="00B711BE"/>
    <w:rsid w:val="00B771D8"/>
    <w:rsid w:val="00B80E00"/>
    <w:rsid w:val="00B82EA8"/>
    <w:rsid w:val="00B8464E"/>
    <w:rsid w:val="00B90855"/>
    <w:rsid w:val="00B90F66"/>
    <w:rsid w:val="00B91428"/>
    <w:rsid w:val="00B91A2A"/>
    <w:rsid w:val="00B92978"/>
    <w:rsid w:val="00B92AD4"/>
    <w:rsid w:val="00B95029"/>
    <w:rsid w:val="00B95690"/>
    <w:rsid w:val="00B968DB"/>
    <w:rsid w:val="00BA168B"/>
    <w:rsid w:val="00BA206D"/>
    <w:rsid w:val="00BA46DD"/>
    <w:rsid w:val="00BA5FE0"/>
    <w:rsid w:val="00BA6DA1"/>
    <w:rsid w:val="00BB1153"/>
    <w:rsid w:val="00BB1A1A"/>
    <w:rsid w:val="00BB1DED"/>
    <w:rsid w:val="00BB22DE"/>
    <w:rsid w:val="00BB3316"/>
    <w:rsid w:val="00BB3F3A"/>
    <w:rsid w:val="00BB414D"/>
    <w:rsid w:val="00BB623D"/>
    <w:rsid w:val="00BB7344"/>
    <w:rsid w:val="00BB774F"/>
    <w:rsid w:val="00BC055C"/>
    <w:rsid w:val="00BC15F6"/>
    <w:rsid w:val="00BC1F61"/>
    <w:rsid w:val="00BC2BA6"/>
    <w:rsid w:val="00BC4677"/>
    <w:rsid w:val="00BC4C07"/>
    <w:rsid w:val="00BC4F73"/>
    <w:rsid w:val="00BC5EF1"/>
    <w:rsid w:val="00BC6097"/>
    <w:rsid w:val="00BC65FF"/>
    <w:rsid w:val="00BC7569"/>
    <w:rsid w:val="00BD0361"/>
    <w:rsid w:val="00BD11DD"/>
    <w:rsid w:val="00BD2B33"/>
    <w:rsid w:val="00BD2E0E"/>
    <w:rsid w:val="00BD310A"/>
    <w:rsid w:val="00BD41D4"/>
    <w:rsid w:val="00BD490C"/>
    <w:rsid w:val="00BD5E7A"/>
    <w:rsid w:val="00BD6C6A"/>
    <w:rsid w:val="00BD7682"/>
    <w:rsid w:val="00BD7F6A"/>
    <w:rsid w:val="00BE02CD"/>
    <w:rsid w:val="00BE051D"/>
    <w:rsid w:val="00BE0751"/>
    <w:rsid w:val="00BE1372"/>
    <w:rsid w:val="00BE2AA0"/>
    <w:rsid w:val="00BE2E2E"/>
    <w:rsid w:val="00BE3015"/>
    <w:rsid w:val="00BE34CE"/>
    <w:rsid w:val="00BF0A4A"/>
    <w:rsid w:val="00BF27FF"/>
    <w:rsid w:val="00BF38E1"/>
    <w:rsid w:val="00BF3E4A"/>
    <w:rsid w:val="00BF4A81"/>
    <w:rsid w:val="00BF4B45"/>
    <w:rsid w:val="00BF7479"/>
    <w:rsid w:val="00C008AE"/>
    <w:rsid w:val="00C013A9"/>
    <w:rsid w:val="00C01A18"/>
    <w:rsid w:val="00C01F72"/>
    <w:rsid w:val="00C02CA6"/>
    <w:rsid w:val="00C04B50"/>
    <w:rsid w:val="00C053A8"/>
    <w:rsid w:val="00C05A22"/>
    <w:rsid w:val="00C05F17"/>
    <w:rsid w:val="00C0762D"/>
    <w:rsid w:val="00C0766C"/>
    <w:rsid w:val="00C07710"/>
    <w:rsid w:val="00C079CF"/>
    <w:rsid w:val="00C07BE9"/>
    <w:rsid w:val="00C12663"/>
    <w:rsid w:val="00C12C26"/>
    <w:rsid w:val="00C14411"/>
    <w:rsid w:val="00C14B04"/>
    <w:rsid w:val="00C16EC5"/>
    <w:rsid w:val="00C17432"/>
    <w:rsid w:val="00C2041F"/>
    <w:rsid w:val="00C20B1C"/>
    <w:rsid w:val="00C21CE6"/>
    <w:rsid w:val="00C2202C"/>
    <w:rsid w:val="00C22D1E"/>
    <w:rsid w:val="00C2387D"/>
    <w:rsid w:val="00C24C97"/>
    <w:rsid w:val="00C250D3"/>
    <w:rsid w:val="00C262A1"/>
    <w:rsid w:val="00C26335"/>
    <w:rsid w:val="00C26B7C"/>
    <w:rsid w:val="00C26E04"/>
    <w:rsid w:val="00C272AD"/>
    <w:rsid w:val="00C302BE"/>
    <w:rsid w:val="00C30A1E"/>
    <w:rsid w:val="00C339B5"/>
    <w:rsid w:val="00C4011A"/>
    <w:rsid w:val="00C40DA9"/>
    <w:rsid w:val="00C43D00"/>
    <w:rsid w:val="00C448E0"/>
    <w:rsid w:val="00C469D4"/>
    <w:rsid w:val="00C47C65"/>
    <w:rsid w:val="00C5224C"/>
    <w:rsid w:val="00C534D7"/>
    <w:rsid w:val="00C543A4"/>
    <w:rsid w:val="00C54C49"/>
    <w:rsid w:val="00C54CE1"/>
    <w:rsid w:val="00C56209"/>
    <w:rsid w:val="00C57BA0"/>
    <w:rsid w:val="00C6137C"/>
    <w:rsid w:val="00C62356"/>
    <w:rsid w:val="00C64D42"/>
    <w:rsid w:val="00C64E85"/>
    <w:rsid w:val="00C65418"/>
    <w:rsid w:val="00C656D6"/>
    <w:rsid w:val="00C65AF9"/>
    <w:rsid w:val="00C6696E"/>
    <w:rsid w:val="00C70B06"/>
    <w:rsid w:val="00C70F1C"/>
    <w:rsid w:val="00C71F49"/>
    <w:rsid w:val="00C726FA"/>
    <w:rsid w:val="00C729F5"/>
    <w:rsid w:val="00C73DF1"/>
    <w:rsid w:val="00C752B6"/>
    <w:rsid w:val="00C758CD"/>
    <w:rsid w:val="00C76B75"/>
    <w:rsid w:val="00C77623"/>
    <w:rsid w:val="00C77EDA"/>
    <w:rsid w:val="00C77F20"/>
    <w:rsid w:val="00C8185C"/>
    <w:rsid w:val="00C81B8E"/>
    <w:rsid w:val="00C82F81"/>
    <w:rsid w:val="00C83BB2"/>
    <w:rsid w:val="00C845CD"/>
    <w:rsid w:val="00C85AC7"/>
    <w:rsid w:val="00C86D80"/>
    <w:rsid w:val="00C876FB"/>
    <w:rsid w:val="00C91E88"/>
    <w:rsid w:val="00C92BAA"/>
    <w:rsid w:val="00C937E3"/>
    <w:rsid w:val="00C9394A"/>
    <w:rsid w:val="00C94B29"/>
    <w:rsid w:val="00C956F8"/>
    <w:rsid w:val="00C95E62"/>
    <w:rsid w:val="00C962C2"/>
    <w:rsid w:val="00C96548"/>
    <w:rsid w:val="00C9694A"/>
    <w:rsid w:val="00C96BB4"/>
    <w:rsid w:val="00C96E50"/>
    <w:rsid w:val="00C96E56"/>
    <w:rsid w:val="00C975B6"/>
    <w:rsid w:val="00CA0128"/>
    <w:rsid w:val="00CA01C8"/>
    <w:rsid w:val="00CA0BDC"/>
    <w:rsid w:val="00CA119D"/>
    <w:rsid w:val="00CA2307"/>
    <w:rsid w:val="00CA2B53"/>
    <w:rsid w:val="00CA2C65"/>
    <w:rsid w:val="00CA2F0E"/>
    <w:rsid w:val="00CA3272"/>
    <w:rsid w:val="00CA6027"/>
    <w:rsid w:val="00CB05E8"/>
    <w:rsid w:val="00CB07F9"/>
    <w:rsid w:val="00CB13FE"/>
    <w:rsid w:val="00CB1FD6"/>
    <w:rsid w:val="00CB3445"/>
    <w:rsid w:val="00CB4B7B"/>
    <w:rsid w:val="00CB5DAA"/>
    <w:rsid w:val="00CC00A5"/>
    <w:rsid w:val="00CC063E"/>
    <w:rsid w:val="00CC326E"/>
    <w:rsid w:val="00CC4250"/>
    <w:rsid w:val="00CC46B1"/>
    <w:rsid w:val="00CC51C5"/>
    <w:rsid w:val="00CC5E86"/>
    <w:rsid w:val="00CC7740"/>
    <w:rsid w:val="00CD0897"/>
    <w:rsid w:val="00CD0A2F"/>
    <w:rsid w:val="00CD0BCF"/>
    <w:rsid w:val="00CD139A"/>
    <w:rsid w:val="00CD2A44"/>
    <w:rsid w:val="00CD2B7E"/>
    <w:rsid w:val="00CD3372"/>
    <w:rsid w:val="00CD55CB"/>
    <w:rsid w:val="00CD576B"/>
    <w:rsid w:val="00CD721A"/>
    <w:rsid w:val="00CD7A01"/>
    <w:rsid w:val="00CE0C2A"/>
    <w:rsid w:val="00CE128A"/>
    <w:rsid w:val="00CE139C"/>
    <w:rsid w:val="00CE2959"/>
    <w:rsid w:val="00CE3A82"/>
    <w:rsid w:val="00CE41BE"/>
    <w:rsid w:val="00CE45C7"/>
    <w:rsid w:val="00CE5209"/>
    <w:rsid w:val="00CE796E"/>
    <w:rsid w:val="00CE7C11"/>
    <w:rsid w:val="00CF0589"/>
    <w:rsid w:val="00CF0A4C"/>
    <w:rsid w:val="00CF21C6"/>
    <w:rsid w:val="00CF2212"/>
    <w:rsid w:val="00CF3403"/>
    <w:rsid w:val="00CF409B"/>
    <w:rsid w:val="00CF57A7"/>
    <w:rsid w:val="00CF5DF6"/>
    <w:rsid w:val="00CF66AE"/>
    <w:rsid w:val="00D0076F"/>
    <w:rsid w:val="00D00CBA"/>
    <w:rsid w:val="00D01928"/>
    <w:rsid w:val="00D06064"/>
    <w:rsid w:val="00D0690A"/>
    <w:rsid w:val="00D07889"/>
    <w:rsid w:val="00D12301"/>
    <w:rsid w:val="00D125AE"/>
    <w:rsid w:val="00D12A4B"/>
    <w:rsid w:val="00D12BC7"/>
    <w:rsid w:val="00D12BCC"/>
    <w:rsid w:val="00D135A1"/>
    <w:rsid w:val="00D14CA1"/>
    <w:rsid w:val="00D1515F"/>
    <w:rsid w:val="00D15D51"/>
    <w:rsid w:val="00D2062E"/>
    <w:rsid w:val="00D22751"/>
    <w:rsid w:val="00D23609"/>
    <w:rsid w:val="00D23969"/>
    <w:rsid w:val="00D23BEB"/>
    <w:rsid w:val="00D262DA"/>
    <w:rsid w:val="00D27A30"/>
    <w:rsid w:val="00D30E4F"/>
    <w:rsid w:val="00D31368"/>
    <w:rsid w:val="00D31863"/>
    <w:rsid w:val="00D32D78"/>
    <w:rsid w:val="00D32FB3"/>
    <w:rsid w:val="00D33E04"/>
    <w:rsid w:val="00D34196"/>
    <w:rsid w:val="00D341A6"/>
    <w:rsid w:val="00D342BD"/>
    <w:rsid w:val="00D41464"/>
    <w:rsid w:val="00D42179"/>
    <w:rsid w:val="00D42781"/>
    <w:rsid w:val="00D427C2"/>
    <w:rsid w:val="00D43992"/>
    <w:rsid w:val="00D44540"/>
    <w:rsid w:val="00D44F86"/>
    <w:rsid w:val="00D47581"/>
    <w:rsid w:val="00D47E60"/>
    <w:rsid w:val="00D50263"/>
    <w:rsid w:val="00D50F9A"/>
    <w:rsid w:val="00D51FA3"/>
    <w:rsid w:val="00D52328"/>
    <w:rsid w:val="00D5443E"/>
    <w:rsid w:val="00D55100"/>
    <w:rsid w:val="00D56388"/>
    <w:rsid w:val="00D56E3B"/>
    <w:rsid w:val="00D56E5D"/>
    <w:rsid w:val="00D60B16"/>
    <w:rsid w:val="00D62404"/>
    <w:rsid w:val="00D626E4"/>
    <w:rsid w:val="00D6272D"/>
    <w:rsid w:val="00D62966"/>
    <w:rsid w:val="00D631C4"/>
    <w:rsid w:val="00D63934"/>
    <w:rsid w:val="00D6395C"/>
    <w:rsid w:val="00D653A6"/>
    <w:rsid w:val="00D65D3C"/>
    <w:rsid w:val="00D663A5"/>
    <w:rsid w:val="00D66ACC"/>
    <w:rsid w:val="00D67333"/>
    <w:rsid w:val="00D7084D"/>
    <w:rsid w:val="00D76622"/>
    <w:rsid w:val="00D777C2"/>
    <w:rsid w:val="00D812F6"/>
    <w:rsid w:val="00D8245D"/>
    <w:rsid w:val="00D836E2"/>
    <w:rsid w:val="00D855DF"/>
    <w:rsid w:val="00D8715E"/>
    <w:rsid w:val="00D87BBA"/>
    <w:rsid w:val="00D87FFA"/>
    <w:rsid w:val="00D915D2"/>
    <w:rsid w:val="00D927A1"/>
    <w:rsid w:val="00D92CB0"/>
    <w:rsid w:val="00D96561"/>
    <w:rsid w:val="00D971C0"/>
    <w:rsid w:val="00D973BF"/>
    <w:rsid w:val="00DA005D"/>
    <w:rsid w:val="00DA32BB"/>
    <w:rsid w:val="00DA3C06"/>
    <w:rsid w:val="00DA662D"/>
    <w:rsid w:val="00DA6D66"/>
    <w:rsid w:val="00DA7C90"/>
    <w:rsid w:val="00DB00AD"/>
    <w:rsid w:val="00DB0C0A"/>
    <w:rsid w:val="00DB157F"/>
    <w:rsid w:val="00DB25A4"/>
    <w:rsid w:val="00DB2D26"/>
    <w:rsid w:val="00DB2E34"/>
    <w:rsid w:val="00DB452B"/>
    <w:rsid w:val="00DB5730"/>
    <w:rsid w:val="00DB6A7F"/>
    <w:rsid w:val="00DB6D68"/>
    <w:rsid w:val="00DB7577"/>
    <w:rsid w:val="00DB77E4"/>
    <w:rsid w:val="00DB7C87"/>
    <w:rsid w:val="00DC035A"/>
    <w:rsid w:val="00DC0536"/>
    <w:rsid w:val="00DC05BD"/>
    <w:rsid w:val="00DC0E0F"/>
    <w:rsid w:val="00DC1C2A"/>
    <w:rsid w:val="00DC20B2"/>
    <w:rsid w:val="00DC4932"/>
    <w:rsid w:val="00DC49AA"/>
    <w:rsid w:val="00DC5FA7"/>
    <w:rsid w:val="00DD04A3"/>
    <w:rsid w:val="00DD07CD"/>
    <w:rsid w:val="00DD1278"/>
    <w:rsid w:val="00DD2AF6"/>
    <w:rsid w:val="00DD36AD"/>
    <w:rsid w:val="00DD3BC2"/>
    <w:rsid w:val="00DD3C3C"/>
    <w:rsid w:val="00DD4194"/>
    <w:rsid w:val="00DD61E2"/>
    <w:rsid w:val="00DD678C"/>
    <w:rsid w:val="00DD6D00"/>
    <w:rsid w:val="00DD7E6F"/>
    <w:rsid w:val="00DE0C95"/>
    <w:rsid w:val="00DE0F60"/>
    <w:rsid w:val="00DE1F3F"/>
    <w:rsid w:val="00DE2A84"/>
    <w:rsid w:val="00DE3390"/>
    <w:rsid w:val="00DE5231"/>
    <w:rsid w:val="00DE6D5C"/>
    <w:rsid w:val="00DF0353"/>
    <w:rsid w:val="00DF4A1D"/>
    <w:rsid w:val="00DF5D77"/>
    <w:rsid w:val="00DF67F6"/>
    <w:rsid w:val="00DF70B6"/>
    <w:rsid w:val="00E019D9"/>
    <w:rsid w:val="00E01C12"/>
    <w:rsid w:val="00E02308"/>
    <w:rsid w:val="00E03A2B"/>
    <w:rsid w:val="00E06568"/>
    <w:rsid w:val="00E0783B"/>
    <w:rsid w:val="00E105AD"/>
    <w:rsid w:val="00E13BEE"/>
    <w:rsid w:val="00E146B9"/>
    <w:rsid w:val="00E15779"/>
    <w:rsid w:val="00E16D3F"/>
    <w:rsid w:val="00E171CE"/>
    <w:rsid w:val="00E179D4"/>
    <w:rsid w:val="00E17DFE"/>
    <w:rsid w:val="00E210B8"/>
    <w:rsid w:val="00E2334C"/>
    <w:rsid w:val="00E261D1"/>
    <w:rsid w:val="00E30234"/>
    <w:rsid w:val="00E31F1E"/>
    <w:rsid w:val="00E32771"/>
    <w:rsid w:val="00E335DF"/>
    <w:rsid w:val="00E33A4E"/>
    <w:rsid w:val="00E34059"/>
    <w:rsid w:val="00E35545"/>
    <w:rsid w:val="00E35826"/>
    <w:rsid w:val="00E35E79"/>
    <w:rsid w:val="00E36408"/>
    <w:rsid w:val="00E37B20"/>
    <w:rsid w:val="00E37CD2"/>
    <w:rsid w:val="00E37E65"/>
    <w:rsid w:val="00E411B4"/>
    <w:rsid w:val="00E4179F"/>
    <w:rsid w:val="00E4193D"/>
    <w:rsid w:val="00E41C76"/>
    <w:rsid w:val="00E436C2"/>
    <w:rsid w:val="00E44370"/>
    <w:rsid w:val="00E44A1E"/>
    <w:rsid w:val="00E45635"/>
    <w:rsid w:val="00E45ACF"/>
    <w:rsid w:val="00E47735"/>
    <w:rsid w:val="00E50FDB"/>
    <w:rsid w:val="00E56B83"/>
    <w:rsid w:val="00E57CEC"/>
    <w:rsid w:val="00E61F11"/>
    <w:rsid w:val="00E64000"/>
    <w:rsid w:val="00E6409E"/>
    <w:rsid w:val="00E64F85"/>
    <w:rsid w:val="00E650A6"/>
    <w:rsid w:val="00E65519"/>
    <w:rsid w:val="00E65C50"/>
    <w:rsid w:val="00E660F5"/>
    <w:rsid w:val="00E66592"/>
    <w:rsid w:val="00E66694"/>
    <w:rsid w:val="00E70956"/>
    <w:rsid w:val="00E71439"/>
    <w:rsid w:val="00E71B78"/>
    <w:rsid w:val="00E720C1"/>
    <w:rsid w:val="00E728E4"/>
    <w:rsid w:val="00E73000"/>
    <w:rsid w:val="00E73BD4"/>
    <w:rsid w:val="00E82734"/>
    <w:rsid w:val="00E82B92"/>
    <w:rsid w:val="00E833E3"/>
    <w:rsid w:val="00E839F9"/>
    <w:rsid w:val="00E84692"/>
    <w:rsid w:val="00E85342"/>
    <w:rsid w:val="00E859C8"/>
    <w:rsid w:val="00E87537"/>
    <w:rsid w:val="00E904FB"/>
    <w:rsid w:val="00E91610"/>
    <w:rsid w:val="00E9198B"/>
    <w:rsid w:val="00E91D18"/>
    <w:rsid w:val="00E933F4"/>
    <w:rsid w:val="00E935C9"/>
    <w:rsid w:val="00E94BDF"/>
    <w:rsid w:val="00E94D21"/>
    <w:rsid w:val="00E94DB7"/>
    <w:rsid w:val="00E96612"/>
    <w:rsid w:val="00E96623"/>
    <w:rsid w:val="00EA0417"/>
    <w:rsid w:val="00EA07E6"/>
    <w:rsid w:val="00EA0D8F"/>
    <w:rsid w:val="00EA12BE"/>
    <w:rsid w:val="00EA2562"/>
    <w:rsid w:val="00EA2FE1"/>
    <w:rsid w:val="00EA57E6"/>
    <w:rsid w:val="00EA6F45"/>
    <w:rsid w:val="00EB1CF7"/>
    <w:rsid w:val="00EB458C"/>
    <w:rsid w:val="00EB5728"/>
    <w:rsid w:val="00EB58D2"/>
    <w:rsid w:val="00EB5F95"/>
    <w:rsid w:val="00EB7C19"/>
    <w:rsid w:val="00EC03A7"/>
    <w:rsid w:val="00EC1E90"/>
    <w:rsid w:val="00EC2B1D"/>
    <w:rsid w:val="00EC2C7D"/>
    <w:rsid w:val="00EC310A"/>
    <w:rsid w:val="00EC35CA"/>
    <w:rsid w:val="00EC39DE"/>
    <w:rsid w:val="00EC3F11"/>
    <w:rsid w:val="00EC53B2"/>
    <w:rsid w:val="00ED3C02"/>
    <w:rsid w:val="00ED4BDE"/>
    <w:rsid w:val="00ED5270"/>
    <w:rsid w:val="00ED5823"/>
    <w:rsid w:val="00ED5FF3"/>
    <w:rsid w:val="00ED61E8"/>
    <w:rsid w:val="00ED6B01"/>
    <w:rsid w:val="00ED6D02"/>
    <w:rsid w:val="00ED7816"/>
    <w:rsid w:val="00ED7FE3"/>
    <w:rsid w:val="00EE0205"/>
    <w:rsid w:val="00EE10B2"/>
    <w:rsid w:val="00EE13E0"/>
    <w:rsid w:val="00EE2DAF"/>
    <w:rsid w:val="00EE670B"/>
    <w:rsid w:val="00EE70AD"/>
    <w:rsid w:val="00EE74E9"/>
    <w:rsid w:val="00EE766A"/>
    <w:rsid w:val="00EF031C"/>
    <w:rsid w:val="00EF0393"/>
    <w:rsid w:val="00EF25D2"/>
    <w:rsid w:val="00EF635C"/>
    <w:rsid w:val="00EF76E1"/>
    <w:rsid w:val="00F018D8"/>
    <w:rsid w:val="00F0368F"/>
    <w:rsid w:val="00F06DD5"/>
    <w:rsid w:val="00F071B2"/>
    <w:rsid w:val="00F10345"/>
    <w:rsid w:val="00F11D63"/>
    <w:rsid w:val="00F1314D"/>
    <w:rsid w:val="00F1384B"/>
    <w:rsid w:val="00F13EB4"/>
    <w:rsid w:val="00F156E5"/>
    <w:rsid w:val="00F15997"/>
    <w:rsid w:val="00F15C8D"/>
    <w:rsid w:val="00F163F4"/>
    <w:rsid w:val="00F166EA"/>
    <w:rsid w:val="00F17224"/>
    <w:rsid w:val="00F17381"/>
    <w:rsid w:val="00F17907"/>
    <w:rsid w:val="00F211FE"/>
    <w:rsid w:val="00F2223F"/>
    <w:rsid w:val="00F223B9"/>
    <w:rsid w:val="00F22D19"/>
    <w:rsid w:val="00F230A7"/>
    <w:rsid w:val="00F23636"/>
    <w:rsid w:val="00F23C15"/>
    <w:rsid w:val="00F26972"/>
    <w:rsid w:val="00F30BF7"/>
    <w:rsid w:val="00F3146C"/>
    <w:rsid w:val="00F314E8"/>
    <w:rsid w:val="00F33365"/>
    <w:rsid w:val="00F33A8A"/>
    <w:rsid w:val="00F34291"/>
    <w:rsid w:val="00F358D7"/>
    <w:rsid w:val="00F41BAF"/>
    <w:rsid w:val="00F434AE"/>
    <w:rsid w:val="00F44547"/>
    <w:rsid w:val="00F46098"/>
    <w:rsid w:val="00F46239"/>
    <w:rsid w:val="00F467B6"/>
    <w:rsid w:val="00F46867"/>
    <w:rsid w:val="00F473A0"/>
    <w:rsid w:val="00F50027"/>
    <w:rsid w:val="00F502BF"/>
    <w:rsid w:val="00F50A69"/>
    <w:rsid w:val="00F51492"/>
    <w:rsid w:val="00F51B86"/>
    <w:rsid w:val="00F5276B"/>
    <w:rsid w:val="00F52DDD"/>
    <w:rsid w:val="00F53585"/>
    <w:rsid w:val="00F54897"/>
    <w:rsid w:val="00F553A6"/>
    <w:rsid w:val="00F5573E"/>
    <w:rsid w:val="00F56126"/>
    <w:rsid w:val="00F56B01"/>
    <w:rsid w:val="00F5713B"/>
    <w:rsid w:val="00F60220"/>
    <w:rsid w:val="00F605EE"/>
    <w:rsid w:val="00F626E5"/>
    <w:rsid w:val="00F62CC7"/>
    <w:rsid w:val="00F62DA0"/>
    <w:rsid w:val="00F63EEE"/>
    <w:rsid w:val="00F63F29"/>
    <w:rsid w:val="00F65579"/>
    <w:rsid w:val="00F664C7"/>
    <w:rsid w:val="00F66928"/>
    <w:rsid w:val="00F66A0A"/>
    <w:rsid w:val="00F67AD3"/>
    <w:rsid w:val="00F67CD0"/>
    <w:rsid w:val="00F70758"/>
    <w:rsid w:val="00F7349A"/>
    <w:rsid w:val="00F736F7"/>
    <w:rsid w:val="00F7419C"/>
    <w:rsid w:val="00F75552"/>
    <w:rsid w:val="00F75A9F"/>
    <w:rsid w:val="00F76ECB"/>
    <w:rsid w:val="00F77035"/>
    <w:rsid w:val="00F80121"/>
    <w:rsid w:val="00F80E8E"/>
    <w:rsid w:val="00F81882"/>
    <w:rsid w:val="00F84A7E"/>
    <w:rsid w:val="00F84FA9"/>
    <w:rsid w:val="00F856FE"/>
    <w:rsid w:val="00F87089"/>
    <w:rsid w:val="00F8722B"/>
    <w:rsid w:val="00F873E2"/>
    <w:rsid w:val="00F87514"/>
    <w:rsid w:val="00F87DDF"/>
    <w:rsid w:val="00F91119"/>
    <w:rsid w:val="00F91623"/>
    <w:rsid w:val="00F930D5"/>
    <w:rsid w:val="00F94F55"/>
    <w:rsid w:val="00FA084C"/>
    <w:rsid w:val="00FA1AD6"/>
    <w:rsid w:val="00FA3516"/>
    <w:rsid w:val="00FA3C81"/>
    <w:rsid w:val="00FA41A7"/>
    <w:rsid w:val="00FA47A3"/>
    <w:rsid w:val="00FA4977"/>
    <w:rsid w:val="00FA7078"/>
    <w:rsid w:val="00FA7498"/>
    <w:rsid w:val="00FB1712"/>
    <w:rsid w:val="00FB2758"/>
    <w:rsid w:val="00FB4B32"/>
    <w:rsid w:val="00FB77C2"/>
    <w:rsid w:val="00FC0410"/>
    <w:rsid w:val="00FC2C55"/>
    <w:rsid w:val="00FC2CCD"/>
    <w:rsid w:val="00FC4075"/>
    <w:rsid w:val="00FC51F0"/>
    <w:rsid w:val="00FC5C88"/>
    <w:rsid w:val="00FC5EB9"/>
    <w:rsid w:val="00FC66E4"/>
    <w:rsid w:val="00FD07C9"/>
    <w:rsid w:val="00FD207D"/>
    <w:rsid w:val="00FD5F53"/>
    <w:rsid w:val="00FE11A6"/>
    <w:rsid w:val="00FE135E"/>
    <w:rsid w:val="00FE1CBC"/>
    <w:rsid w:val="00FE2972"/>
    <w:rsid w:val="00FE2A82"/>
    <w:rsid w:val="00FE40AC"/>
    <w:rsid w:val="00FE4FB0"/>
    <w:rsid w:val="00FE5CF4"/>
    <w:rsid w:val="00FE60F1"/>
    <w:rsid w:val="00FE611D"/>
    <w:rsid w:val="00FE7BDD"/>
    <w:rsid w:val="00FF06EC"/>
    <w:rsid w:val="00FF228C"/>
    <w:rsid w:val="00FF2B2A"/>
    <w:rsid w:val="00FF2ED4"/>
    <w:rsid w:val="00FF43A4"/>
    <w:rsid w:val="00FF4A73"/>
    <w:rsid w:val="00FF67F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14F0E0"/>
  <w15:docId w15:val="{2DF4502E-C6ED-47B9-89E0-18463E3A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9" w:qFormat="1"/>
    <w:lsdException w:name="heading 4" w:uiPriority="9"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
    <w:qFormat/>
    <w:rsid w:val="001A57CC"/>
    <w:rPr>
      <w:rFonts w:ascii="Times New Roman" w:eastAsia="Times New Roman" w:hAnsi="Times New Roman"/>
      <w:sz w:val="24"/>
      <w:szCs w:val="24"/>
      <w:lang w:eastAsia="zh-CN"/>
    </w:rPr>
  </w:style>
  <w:style w:type="paragraph" w:styleId="Heading1">
    <w:name w:val="heading 1"/>
    <w:aliases w:val="h1"/>
    <w:basedOn w:val="Normal"/>
    <w:next w:val="standard"/>
    <w:link w:val="Heading1Char"/>
    <w:uiPriority w:val="4"/>
    <w:qFormat/>
    <w:rsid w:val="004607C3"/>
    <w:pPr>
      <w:keepNext/>
      <w:spacing w:line="480" w:lineRule="auto"/>
      <w:jc w:val="center"/>
      <w:outlineLvl w:val="0"/>
    </w:pPr>
    <w:rPr>
      <w:b/>
      <w:kern w:val="28"/>
      <w:szCs w:val="20"/>
      <w:lang w:eastAsia="en-US"/>
    </w:rPr>
  </w:style>
  <w:style w:type="paragraph" w:styleId="Heading2">
    <w:name w:val="heading 2"/>
    <w:aliases w:val="h2,heading 2"/>
    <w:basedOn w:val="Normal"/>
    <w:next w:val="List1"/>
    <w:link w:val="Heading2Char"/>
    <w:uiPriority w:val="4"/>
    <w:qFormat/>
    <w:rsid w:val="005C6B09"/>
    <w:pPr>
      <w:keepNext/>
      <w:spacing w:line="480" w:lineRule="auto"/>
      <w:outlineLvl w:val="1"/>
    </w:pPr>
    <w:rPr>
      <w:b/>
      <w:szCs w:val="20"/>
      <w:lang w:eastAsia="en-US"/>
    </w:rPr>
  </w:style>
  <w:style w:type="paragraph" w:styleId="Heading3">
    <w:name w:val="heading 3"/>
    <w:aliases w:val="h3"/>
    <w:basedOn w:val="Normal"/>
    <w:next w:val="List1"/>
    <w:qFormat/>
    <w:rsid w:val="00B100A0"/>
    <w:pPr>
      <w:keepNext/>
      <w:spacing w:line="480" w:lineRule="auto"/>
      <w:ind w:left="720" w:right="240"/>
      <w:outlineLvl w:val="2"/>
    </w:pPr>
    <w:rPr>
      <w:b/>
      <w:i/>
      <w:szCs w:val="20"/>
      <w:lang w:eastAsia="en-US"/>
    </w:rPr>
  </w:style>
  <w:style w:type="paragraph" w:styleId="Heading4">
    <w:name w:val="heading 4"/>
    <w:aliases w:val="h4"/>
    <w:basedOn w:val="Normal"/>
    <w:next w:val="standard"/>
    <w:qFormat/>
    <w:pPr>
      <w:keepNext/>
      <w:spacing w:before="120"/>
      <w:ind w:left="720"/>
      <w:outlineLvl w:val="3"/>
    </w:pPr>
    <w:rPr>
      <w:rFonts w:eastAsia="SimSun"/>
      <w:b/>
      <w:i/>
      <w:szCs w:val="20"/>
      <w:lang w:eastAsia="en-US"/>
    </w:rPr>
  </w:style>
  <w:style w:type="paragraph" w:styleId="Heading5">
    <w:name w:val="heading 5"/>
    <w:basedOn w:val="Normal"/>
    <w:next w:val="Normal"/>
    <w:link w:val="Heading5Char"/>
    <w:uiPriority w:val="9"/>
    <w:unhideWhenUsed/>
    <w:rsid w:val="001401F3"/>
    <w:pPr>
      <w:keepNext/>
      <w:keepLines/>
      <w:spacing w:before="200"/>
      <w:outlineLvl w:val="4"/>
    </w:pPr>
    <w:rPr>
      <w:rFonts w:asciiTheme="majorHAnsi" w:eastAsiaTheme="majorEastAsia" w:hAnsiTheme="majorHAnsi" w:cstheme="majorBidi"/>
      <w:color w:val="243F60" w:themeColor="accent1" w:themeShade="7F"/>
      <w:szCs w:val="20"/>
      <w:lang w:eastAsia="en-US"/>
    </w:rPr>
  </w:style>
  <w:style w:type="paragraph" w:styleId="Heading6">
    <w:name w:val="heading 6"/>
    <w:basedOn w:val="Normal"/>
    <w:next w:val="Normal"/>
    <w:link w:val="Heading6Char"/>
    <w:uiPriority w:val="9"/>
    <w:unhideWhenUsed/>
    <w:rsid w:val="001401F3"/>
    <w:pPr>
      <w:keepNext/>
      <w:keepLines/>
      <w:spacing w:before="200"/>
      <w:outlineLvl w:val="5"/>
    </w:pPr>
    <w:rPr>
      <w:rFonts w:asciiTheme="majorHAnsi" w:eastAsiaTheme="majorEastAsia" w:hAnsiTheme="majorHAnsi" w:cstheme="majorBidi"/>
      <w:i/>
      <w:iCs/>
      <w:color w:val="243F60" w:themeColor="accent1" w:themeShade="7F"/>
      <w:szCs w:val="20"/>
      <w:lang w:eastAsia="en-US"/>
    </w:rPr>
  </w:style>
  <w:style w:type="paragraph" w:styleId="Heading7">
    <w:name w:val="heading 7"/>
    <w:basedOn w:val="Normal"/>
    <w:next w:val="Normal"/>
    <w:link w:val="Heading7Char"/>
    <w:uiPriority w:val="9"/>
    <w:unhideWhenUsed/>
    <w:rsid w:val="001401F3"/>
    <w:pPr>
      <w:keepNext/>
      <w:keepLines/>
      <w:spacing w:before="200"/>
      <w:outlineLvl w:val="6"/>
    </w:pPr>
    <w:rPr>
      <w:rFonts w:asciiTheme="majorHAnsi" w:eastAsiaTheme="majorEastAsia" w:hAnsiTheme="majorHAnsi" w:cstheme="majorBidi"/>
      <w:i/>
      <w:iCs/>
      <w:color w:val="404040" w:themeColor="text1" w:themeTint="BF"/>
      <w:szCs w:val="20"/>
      <w:lang w:eastAsia="en-US"/>
    </w:rPr>
  </w:style>
  <w:style w:type="paragraph" w:styleId="Heading8">
    <w:name w:val="heading 8"/>
    <w:basedOn w:val="Normal"/>
    <w:next w:val="Normal"/>
    <w:link w:val="Heading8Char"/>
    <w:uiPriority w:val="9"/>
    <w:semiHidden/>
    <w:unhideWhenUsed/>
    <w:rsid w:val="00DD04A3"/>
    <w:pPr>
      <w:keepNext/>
      <w:keepLines/>
      <w:spacing w:before="200"/>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rFonts w:eastAsia="SimSun"/>
      <w:szCs w:val="20"/>
      <w:lang w:eastAsia="en-US"/>
    </w:rPr>
  </w:style>
  <w:style w:type="paragraph" w:styleId="Header">
    <w:name w:val="header"/>
    <w:basedOn w:val="Normal"/>
    <w:link w:val="HeaderChar"/>
    <w:uiPriority w:val="99"/>
    <w:pPr>
      <w:tabs>
        <w:tab w:val="center" w:pos="4320"/>
        <w:tab w:val="right" w:pos="8640"/>
      </w:tabs>
    </w:pPr>
    <w:rPr>
      <w:rFonts w:eastAsia="SimSun"/>
      <w:sz w:val="20"/>
      <w:szCs w:val="20"/>
      <w:lang w:eastAsia="en-US"/>
    </w:rPr>
  </w:style>
  <w:style w:type="paragraph" w:customStyle="1" w:styleId="standard">
    <w:name w:val="standard"/>
    <w:aliases w:val="s,Standard"/>
    <w:basedOn w:val="Normal"/>
    <w:qFormat/>
    <w:rsid w:val="00503271"/>
    <w:pPr>
      <w:spacing w:line="480" w:lineRule="auto"/>
      <w:ind w:firstLine="720"/>
    </w:pPr>
    <w:rPr>
      <w:rFonts w:eastAsia="SimSun"/>
      <w:szCs w:val="20"/>
      <w:lang w:eastAsia="en-US"/>
    </w:rPr>
  </w:style>
  <w:style w:type="paragraph" w:customStyle="1" w:styleId="Quote1">
    <w:name w:val="Quote1"/>
    <w:aliases w:val="q"/>
    <w:basedOn w:val="Normal"/>
    <w:pPr>
      <w:ind w:left="720" w:right="720"/>
    </w:pPr>
    <w:rPr>
      <w:rFonts w:eastAsia="SimSun"/>
      <w:szCs w:val="20"/>
      <w:lang w:eastAsia="en-US"/>
    </w:rPr>
  </w:style>
  <w:style w:type="paragraph" w:customStyle="1" w:styleId="Box">
    <w:name w:val="Box"/>
    <w:basedOn w:val="Quote1"/>
    <w:pPr>
      <w:pBdr>
        <w:top w:val="single" w:sz="6" w:space="10" w:color="auto"/>
        <w:left w:val="single" w:sz="6" w:space="10" w:color="auto"/>
        <w:bottom w:val="single" w:sz="6" w:space="10" w:color="auto"/>
        <w:right w:val="single" w:sz="6" w:space="10" w:color="auto"/>
      </w:pBdr>
    </w:pPr>
  </w:style>
  <w:style w:type="paragraph" w:customStyle="1" w:styleId="Indentedlist">
    <w:name w:val="Indented list"/>
    <w:aliases w:val="il"/>
    <w:basedOn w:val="Normal"/>
    <w:pPr>
      <w:ind w:left="980" w:hanging="260"/>
    </w:pPr>
    <w:rPr>
      <w:rFonts w:eastAsia="SimSun"/>
      <w:szCs w:val="20"/>
      <w:lang w:eastAsia="en-US"/>
    </w:rPr>
  </w:style>
  <w:style w:type="paragraph" w:customStyle="1" w:styleId="List1">
    <w:name w:val="List1"/>
    <w:aliases w:val="l"/>
    <w:basedOn w:val="Normal"/>
    <w:qFormat/>
    <w:rsid w:val="000C42BE"/>
    <w:pPr>
      <w:ind w:left="260" w:hanging="260"/>
    </w:pPr>
    <w:rPr>
      <w:rFonts w:eastAsia="SimSun"/>
      <w:szCs w:val="20"/>
      <w:lang w:eastAsia="en-US"/>
    </w:rPr>
  </w:style>
  <w:style w:type="paragraph" w:customStyle="1" w:styleId="i">
    <w:name w:val="i"/>
    <w:basedOn w:val="Normal"/>
    <w:rPr>
      <w:rFonts w:eastAsia="SimSun"/>
      <w:szCs w:val="20"/>
      <w:lang w:eastAsia="en-US"/>
    </w:rPr>
  </w:style>
  <w:style w:type="paragraph" w:styleId="BodyTextIndent2">
    <w:name w:val="Body Text Indent 2"/>
    <w:basedOn w:val="Normal"/>
    <w:pPr>
      <w:ind w:firstLine="720"/>
    </w:pPr>
    <w:rPr>
      <w:rFonts w:ascii="Arial" w:eastAsia="SimSun" w:hAnsi="Arial"/>
      <w:szCs w:val="20"/>
      <w:lang w:eastAsia="en-US"/>
    </w:rPr>
  </w:style>
  <w:style w:type="character" w:styleId="Hyperlink">
    <w:name w:val="Hyperlink"/>
    <w:basedOn w:val="DefaultParagraphFont"/>
    <w:uiPriority w:val="99"/>
    <w:rPr>
      <w:color w:val="0000FF"/>
      <w:u w:val="single"/>
    </w:rPr>
  </w:style>
  <w:style w:type="paragraph" w:styleId="FootnoteText">
    <w:name w:val="footnote text"/>
    <w:basedOn w:val="Normal"/>
    <w:link w:val="FootnoteTextChar"/>
    <w:uiPriority w:val="99"/>
    <w:qFormat/>
    <w:rsid w:val="00E0783B"/>
    <w:pPr>
      <w:spacing w:after="60" w:line="480" w:lineRule="auto"/>
    </w:pPr>
    <w:rPr>
      <w:rFonts w:ascii="Times" w:eastAsia="SimSun" w:hAnsi="Times"/>
      <w:sz w:val="20"/>
      <w:szCs w:val="20"/>
      <w:lang w:eastAsia="en-US"/>
    </w:rPr>
  </w:style>
  <w:style w:type="character" w:styleId="FootnoteReference">
    <w:name w:val="footnote reference"/>
    <w:basedOn w:val="DefaultParagraphFont"/>
    <w:uiPriority w:val="99"/>
    <w:rPr>
      <w:vertAlign w:val="superscript"/>
    </w:rPr>
  </w:style>
  <w:style w:type="character" w:customStyle="1" w:styleId="Heading5Char">
    <w:name w:val="Heading 5 Char"/>
    <w:basedOn w:val="DefaultParagraphFont"/>
    <w:link w:val="Heading5"/>
    <w:uiPriority w:val="9"/>
    <w:rsid w:val="001401F3"/>
    <w:rPr>
      <w:rFonts w:asciiTheme="majorHAnsi" w:eastAsiaTheme="majorEastAsia" w:hAnsiTheme="majorHAnsi" w:cstheme="majorBidi"/>
      <w:color w:val="243F60" w:themeColor="accent1" w:themeShade="7F"/>
      <w:sz w:val="24"/>
    </w:rPr>
  </w:style>
  <w:style w:type="character" w:styleId="Strong">
    <w:name w:val="Strong"/>
    <w:basedOn w:val="DefaultParagraphFont"/>
    <w:uiPriority w:val="22"/>
    <w:rsid w:val="001401F3"/>
    <w:rPr>
      <w:b/>
      <w:bCs/>
    </w:rPr>
  </w:style>
  <w:style w:type="paragraph" w:styleId="IntenseQuote">
    <w:name w:val="Intense Quote"/>
    <w:basedOn w:val="Normal"/>
    <w:next w:val="Normal"/>
    <w:link w:val="IntenseQuoteChar"/>
    <w:uiPriority w:val="30"/>
    <w:rsid w:val="001401F3"/>
    <w:pPr>
      <w:pBdr>
        <w:bottom w:val="single" w:sz="4" w:space="4" w:color="4F81BD" w:themeColor="accent1"/>
      </w:pBdr>
      <w:spacing w:before="200" w:after="280"/>
      <w:ind w:left="936" w:right="936"/>
    </w:pPr>
    <w:rPr>
      <w:rFonts w:eastAsia="SimSun"/>
      <w:b/>
      <w:bCs/>
      <w:i/>
      <w:iCs/>
      <w:color w:val="4F81BD" w:themeColor="accent1"/>
      <w:szCs w:val="20"/>
      <w:lang w:eastAsia="en-US"/>
    </w:rPr>
  </w:style>
  <w:style w:type="character" w:customStyle="1" w:styleId="IntenseQuoteChar">
    <w:name w:val="Intense Quote Char"/>
    <w:basedOn w:val="DefaultParagraphFont"/>
    <w:link w:val="IntenseQuote"/>
    <w:uiPriority w:val="30"/>
    <w:rsid w:val="001401F3"/>
    <w:rPr>
      <w:rFonts w:ascii="Helvetica" w:hAnsi="Helvetica"/>
      <w:b/>
      <w:bCs/>
      <w:i/>
      <w:iCs/>
      <w:color w:val="4F81BD" w:themeColor="accent1"/>
      <w:sz w:val="24"/>
    </w:rPr>
  </w:style>
  <w:style w:type="character" w:styleId="IntenseEmphasis">
    <w:name w:val="Intense Emphasis"/>
    <w:basedOn w:val="DefaultParagraphFont"/>
    <w:uiPriority w:val="21"/>
    <w:rsid w:val="001401F3"/>
    <w:rPr>
      <w:b/>
      <w:bCs/>
      <w:i/>
      <w:iCs/>
      <w:color w:val="4F81BD" w:themeColor="accent1"/>
    </w:rPr>
  </w:style>
  <w:style w:type="character" w:styleId="SubtleReference">
    <w:name w:val="Subtle Reference"/>
    <w:basedOn w:val="DefaultParagraphFont"/>
    <w:uiPriority w:val="31"/>
    <w:rsid w:val="001401F3"/>
    <w:rPr>
      <w:smallCaps/>
      <w:color w:val="C0504D" w:themeColor="accent2"/>
      <w:u w:val="single"/>
    </w:rPr>
  </w:style>
  <w:style w:type="character" w:styleId="BookTitle">
    <w:name w:val="Book Title"/>
    <w:basedOn w:val="DefaultParagraphFont"/>
    <w:uiPriority w:val="33"/>
    <w:rsid w:val="001401F3"/>
    <w:rPr>
      <w:b/>
      <w:bCs/>
      <w:smallCaps/>
      <w:spacing w:val="5"/>
    </w:rPr>
  </w:style>
  <w:style w:type="character" w:styleId="IntenseReference">
    <w:name w:val="Intense Reference"/>
    <w:basedOn w:val="DefaultParagraphFont"/>
    <w:uiPriority w:val="32"/>
    <w:rsid w:val="001401F3"/>
    <w:rPr>
      <w:b/>
      <w:bCs/>
      <w:smallCaps/>
      <w:color w:val="C0504D" w:themeColor="accent2"/>
      <w:spacing w:val="5"/>
      <w:u w:val="single"/>
    </w:rPr>
  </w:style>
  <w:style w:type="character" w:customStyle="1" w:styleId="Heading6Char">
    <w:name w:val="Heading 6 Char"/>
    <w:basedOn w:val="DefaultParagraphFont"/>
    <w:link w:val="Heading6"/>
    <w:uiPriority w:val="9"/>
    <w:rsid w:val="001401F3"/>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1401F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D04A3"/>
    <w:rPr>
      <w:rFonts w:asciiTheme="majorHAnsi" w:eastAsiaTheme="majorEastAsia" w:hAnsiTheme="majorHAnsi" w:cstheme="majorBidi"/>
      <w:color w:val="404040" w:themeColor="text1" w:themeTint="BF"/>
    </w:rPr>
  </w:style>
  <w:style w:type="paragraph" w:styleId="Subtitle">
    <w:name w:val="Subtitle"/>
    <w:basedOn w:val="Normal"/>
    <w:next w:val="Normal"/>
    <w:link w:val="SubtitleChar"/>
    <w:uiPriority w:val="11"/>
    <w:rsid w:val="00DD04A3"/>
    <w:pPr>
      <w:numPr>
        <w:ilvl w:val="1"/>
      </w:numPr>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uiPriority w:val="11"/>
    <w:rsid w:val="00DD04A3"/>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rsid w:val="00DD04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DD04A3"/>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rsid w:val="00DD04A3"/>
    <w:rPr>
      <w:i/>
      <w:iCs/>
      <w:color w:val="808080" w:themeColor="text1" w:themeTint="7F"/>
    </w:rPr>
  </w:style>
  <w:style w:type="character" w:styleId="Emphasis">
    <w:name w:val="Emphasis"/>
    <w:basedOn w:val="DefaultParagraphFont"/>
    <w:uiPriority w:val="20"/>
    <w:rsid w:val="00DD04A3"/>
    <w:rPr>
      <w:i/>
      <w:iCs/>
    </w:rPr>
  </w:style>
  <w:style w:type="paragraph" w:styleId="ListParagraph">
    <w:name w:val="List Paragraph"/>
    <w:basedOn w:val="Normal"/>
    <w:uiPriority w:val="34"/>
    <w:qFormat/>
    <w:rsid w:val="00F17224"/>
    <w:pPr>
      <w:numPr>
        <w:numId w:val="24"/>
      </w:numPr>
      <w:contextualSpacing/>
    </w:pPr>
    <w:rPr>
      <w:rFonts w:eastAsiaTheme="minorHAnsi" w:cstheme="minorBidi"/>
      <w:lang w:eastAsia="en-US"/>
    </w:rPr>
  </w:style>
  <w:style w:type="paragraph" w:styleId="BalloonText">
    <w:name w:val="Balloon Text"/>
    <w:basedOn w:val="Normal"/>
    <w:link w:val="BalloonTextChar"/>
    <w:uiPriority w:val="99"/>
    <w:semiHidden/>
    <w:unhideWhenUsed/>
    <w:rsid w:val="006D4952"/>
    <w:rPr>
      <w:rFonts w:eastAsia="SimSun"/>
      <w:sz w:val="18"/>
      <w:szCs w:val="18"/>
      <w:lang w:eastAsia="en-US"/>
    </w:rPr>
  </w:style>
  <w:style w:type="character" w:customStyle="1" w:styleId="BalloonTextChar">
    <w:name w:val="Balloon Text Char"/>
    <w:basedOn w:val="DefaultParagraphFont"/>
    <w:link w:val="BalloonText"/>
    <w:uiPriority w:val="99"/>
    <w:semiHidden/>
    <w:rsid w:val="006D4952"/>
    <w:rPr>
      <w:rFonts w:ascii="Times New Roman" w:hAnsi="Times New Roman"/>
      <w:sz w:val="18"/>
      <w:szCs w:val="18"/>
    </w:rPr>
  </w:style>
  <w:style w:type="character" w:styleId="UnresolvedMention">
    <w:name w:val="Unresolved Mention"/>
    <w:basedOn w:val="DefaultParagraphFont"/>
    <w:uiPriority w:val="99"/>
    <w:semiHidden/>
    <w:unhideWhenUsed/>
    <w:rsid w:val="00DD3C3C"/>
    <w:rPr>
      <w:color w:val="605E5C"/>
      <w:shd w:val="clear" w:color="auto" w:fill="E1DFDD"/>
    </w:rPr>
  </w:style>
  <w:style w:type="paragraph" w:styleId="Bibliography">
    <w:name w:val="Bibliography"/>
    <w:basedOn w:val="Normal"/>
    <w:next w:val="Normal"/>
    <w:uiPriority w:val="37"/>
    <w:semiHidden/>
    <w:unhideWhenUsed/>
    <w:rsid w:val="00152D52"/>
    <w:rPr>
      <w:rFonts w:eastAsia="SimSun"/>
      <w:szCs w:val="20"/>
      <w:lang w:eastAsia="en-US"/>
    </w:rPr>
  </w:style>
  <w:style w:type="table" w:styleId="TableGrid">
    <w:name w:val="Table Grid"/>
    <w:basedOn w:val="TableNormal"/>
    <w:uiPriority w:val="59"/>
    <w:rsid w:val="00055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5E6D"/>
    <w:rPr>
      <w:sz w:val="16"/>
      <w:szCs w:val="16"/>
    </w:rPr>
  </w:style>
  <w:style w:type="paragraph" w:styleId="CommentText">
    <w:name w:val="annotation text"/>
    <w:basedOn w:val="Normal"/>
    <w:link w:val="CommentTextChar"/>
    <w:uiPriority w:val="99"/>
    <w:unhideWhenUsed/>
    <w:rsid w:val="00055E6D"/>
    <w:rPr>
      <w:rFonts w:ascii="Garamond" w:eastAsia="SimSun" w:hAnsi="Garamond"/>
      <w:sz w:val="20"/>
      <w:szCs w:val="20"/>
      <w:lang w:eastAsia="en-US"/>
    </w:rPr>
  </w:style>
  <w:style w:type="character" w:customStyle="1" w:styleId="CommentTextChar">
    <w:name w:val="Comment Text Char"/>
    <w:basedOn w:val="DefaultParagraphFont"/>
    <w:link w:val="CommentText"/>
    <w:uiPriority w:val="99"/>
    <w:rsid w:val="00055E6D"/>
    <w:rPr>
      <w:rFonts w:ascii="Garamond" w:hAnsi="Garamond"/>
    </w:rPr>
  </w:style>
  <w:style w:type="character" w:customStyle="1" w:styleId="FootnoteTextChar">
    <w:name w:val="Footnote Text Char"/>
    <w:basedOn w:val="DefaultParagraphFont"/>
    <w:link w:val="FootnoteText"/>
    <w:uiPriority w:val="99"/>
    <w:rsid w:val="00E0783B"/>
    <w:rPr>
      <w:rFonts w:ascii="Times" w:hAnsi="Times"/>
    </w:rPr>
  </w:style>
  <w:style w:type="paragraph" w:styleId="NoSpacing">
    <w:name w:val="No Spacing"/>
    <w:uiPriority w:val="1"/>
    <w:qFormat/>
    <w:rsid w:val="00503A50"/>
    <w:rPr>
      <w:rFonts w:asciiTheme="minorHAnsi" w:eastAsiaTheme="minorEastAsia" w:hAnsiTheme="minorHAnsi" w:cstheme="minorBidi"/>
      <w:sz w:val="22"/>
      <w:szCs w:val="22"/>
      <w:lang w:eastAsia="zh-CN"/>
    </w:rPr>
  </w:style>
  <w:style w:type="paragraph" w:customStyle="1" w:styleId="EndNoteBibliography">
    <w:name w:val="EndNote Bibliography"/>
    <w:basedOn w:val="Normal"/>
    <w:link w:val="EndNoteBibliographyChar"/>
    <w:rsid w:val="00E019D9"/>
    <w:rPr>
      <w:rFonts w:eastAsiaTheme="minorEastAsia"/>
      <w:noProof/>
      <w:lang w:eastAsia="en-US"/>
    </w:rPr>
  </w:style>
  <w:style w:type="character" w:customStyle="1" w:styleId="EndNoteBibliographyChar">
    <w:name w:val="EndNote Bibliography Char"/>
    <w:basedOn w:val="DefaultParagraphFont"/>
    <w:link w:val="EndNoteBibliography"/>
    <w:rsid w:val="00E019D9"/>
    <w:rPr>
      <w:rFonts w:ascii="Times New Roman" w:eastAsiaTheme="minorEastAsia" w:hAnsi="Times New Roman"/>
      <w:noProof/>
      <w:sz w:val="24"/>
      <w:szCs w:val="24"/>
    </w:rPr>
  </w:style>
  <w:style w:type="paragraph" w:styleId="CommentSubject">
    <w:name w:val="annotation subject"/>
    <w:basedOn w:val="CommentText"/>
    <w:next w:val="CommentText"/>
    <w:link w:val="CommentSubjectChar"/>
    <w:uiPriority w:val="99"/>
    <w:semiHidden/>
    <w:unhideWhenUsed/>
    <w:rsid w:val="00185570"/>
    <w:rPr>
      <w:rFonts w:ascii="Times New Roman" w:hAnsi="Times New Roman"/>
      <w:b/>
      <w:bCs/>
    </w:rPr>
  </w:style>
  <w:style w:type="character" w:customStyle="1" w:styleId="CommentSubjectChar">
    <w:name w:val="Comment Subject Char"/>
    <w:basedOn w:val="CommentTextChar"/>
    <w:link w:val="CommentSubject"/>
    <w:uiPriority w:val="99"/>
    <w:semiHidden/>
    <w:rsid w:val="00185570"/>
    <w:rPr>
      <w:rFonts w:ascii="Times New Roman" w:hAnsi="Times New Roman"/>
      <w:b/>
      <w:bCs/>
    </w:rPr>
  </w:style>
  <w:style w:type="character" w:customStyle="1" w:styleId="Heading2Char">
    <w:name w:val="Heading 2 Char"/>
    <w:aliases w:val="h2 Char,heading 2 Char"/>
    <w:basedOn w:val="DefaultParagraphFont"/>
    <w:link w:val="Heading2"/>
    <w:uiPriority w:val="4"/>
    <w:rsid w:val="005C6B09"/>
    <w:rPr>
      <w:rFonts w:ascii="Times New Roman" w:eastAsia="Times New Roman" w:hAnsi="Times New Roman"/>
      <w:b/>
      <w:sz w:val="24"/>
    </w:rPr>
  </w:style>
  <w:style w:type="character" w:customStyle="1" w:styleId="Heading1Char">
    <w:name w:val="Heading 1 Char"/>
    <w:aliases w:val="h1 Char"/>
    <w:basedOn w:val="DefaultParagraphFont"/>
    <w:link w:val="Heading1"/>
    <w:uiPriority w:val="4"/>
    <w:rsid w:val="006A633C"/>
    <w:rPr>
      <w:rFonts w:ascii="Times New Roman" w:eastAsia="Times New Roman" w:hAnsi="Times New Roman"/>
      <w:b/>
      <w:kern w:val="28"/>
      <w:sz w:val="24"/>
    </w:rPr>
  </w:style>
  <w:style w:type="character" w:customStyle="1" w:styleId="HeaderChar">
    <w:name w:val="Header Char"/>
    <w:basedOn w:val="DefaultParagraphFont"/>
    <w:link w:val="Header"/>
    <w:uiPriority w:val="99"/>
    <w:rsid w:val="0085397C"/>
    <w:rPr>
      <w:rFonts w:ascii="Times New Roman" w:hAnsi="Times New Roman"/>
    </w:rPr>
  </w:style>
  <w:style w:type="character" w:styleId="PageNumber">
    <w:name w:val="page number"/>
    <w:basedOn w:val="DefaultParagraphFont"/>
    <w:uiPriority w:val="99"/>
    <w:semiHidden/>
    <w:unhideWhenUsed/>
    <w:rsid w:val="00AC0B33"/>
  </w:style>
  <w:style w:type="paragraph" w:styleId="Revision">
    <w:name w:val="Revision"/>
    <w:hidden/>
    <w:uiPriority w:val="99"/>
    <w:semiHidden/>
    <w:rsid w:val="00087147"/>
    <w:rPr>
      <w:rFonts w:ascii="Times New Roman" w:hAnsi="Times New Roman"/>
      <w:sz w:val="24"/>
    </w:rPr>
  </w:style>
  <w:style w:type="paragraph" w:styleId="TOC1">
    <w:name w:val="toc 1"/>
    <w:basedOn w:val="Normal"/>
    <w:next w:val="Normal"/>
    <w:autoRedefine/>
    <w:uiPriority w:val="39"/>
    <w:unhideWhenUsed/>
    <w:rsid w:val="00CE796E"/>
    <w:pPr>
      <w:spacing w:before="120"/>
    </w:pPr>
    <w:rPr>
      <w:rFonts w:asciiTheme="minorHAnsi" w:eastAsia="SimSun" w:hAnsiTheme="minorHAnsi"/>
      <w:b/>
      <w:bCs/>
      <w:i/>
      <w:iCs/>
      <w:lang w:eastAsia="en-US"/>
    </w:rPr>
  </w:style>
  <w:style w:type="paragraph" w:styleId="TOC2">
    <w:name w:val="toc 2"/>
    <w:basedOn w:val="Normal"/>
    <w:next w:val="Normal"/>
    <w:autoRedefine/>
    <w:uiPriority w:val="39"/>
    <w:unhideWhenUsed/>
    <w:rsid w:val="00CE796E"/>
    <w:pPr>
      <w:spacing w:before="120"/>
      <w:ind w:left="240"/>
    </w:pPr>
    <w:rPr>
      <w:rFonts w:asciiTheme="minorHAnsi" w:eastAsia="SimSun" w:hAnsiTheme="minorHAnsi"/>
      <w:b/>
      <w:bCs/>
      <w:sz w:val="22"/>
      <w:szCs w:val="22"/>
      <w:lang w:eastAsia="en-US"/>
    </w:rPr>
  </w:style>
  <w:style w:type="paragraph" w:styleId="TOC3">
    <w:name w:val="toc 3"/>
    <w:basedOn w:val="Normal"/>
    <w:next w:val="Normal"/>
    <w:autoRedefine/>
    <w:uiPriority w:val="39"/>
    <w:unhideWhenUsed/>
    <w:rsid w:val="002D0384"/>
    <w:pPr>
      <w:tabs>
        <w:tab w:val="right" w:leader="dot" w:pos="9350"/>
      </w:tabs>
      <w:spacing w:line="276" w:lineRule="auto"/>
      <w:ind w:left="480"/>
    </w:pPr>
    <w:rPr>
      <w:rFonts w:asciiTheme="minorHAnsi" w:eastAsia="SimSun" w:hAnsiTheme="minorHAnsi"/>
      <w:sz w:val="20"/>
      <w:szCs w:val="20"/>
      <w:lang w:eastAsia="en-US"/>
    </w:rPr>
  </w:style>
  <w:style w:type="paragraph" w:styleId="TOC4">
    <w:name w:val="toc 4"/>
    <w:basedOn w:val="Normal"/>
    <w:next w:val="Normal"/>
    <w:autoRedefine/>
    <w:uiPriority w:val="39"/>
    <w:unhideWhenUsed/>
    <w:rsid w:val="00CE796E"/>
    <w:pPr>
      <w:ind w:left="720"/>
    </w:pPr>
    <w:rPr>
      <w:rFonts w:asciiTheme="minorHAnsi" w:eastAsia="SimSun" w:hAnsiTheme="minorHAnsi"/>
      <w:sz w:val="20"/>
      <w:szCs w:val="20"/>
      <w:lang w:eastAsia="en-US"/>
    </w:rPr>
  </w:style>
  <w:style w:type="paragraph" w:styleId="TOC5">
    <w:name w:val="toc 5"/>
    <w:basedOn w:val="Normal"/>
    <w:next w:val="Normal"/>
    <w:autoRedefine/>
    <w:uiPriority w:val="39"/>
    <w:unhideWhenUsed/>
    <w:rsid w:val="00CE796E"/>
    <w:pPr>
      <w:ind w:left="960"/>
    </w:pPr>
    <w:rPr>
      <w:rFonts w:asciiTheme="minorHAnsi" w:eastAsia="SimSun" w:hAnsiTheme="minorHAnsi"/>
      <w:sz w:val="20"/>
      <w:szCs w:val="20"/>
      <w:lang w:eastAsia="en-US"/>
    </w:rPr>
  </w:style>
  <w:style w:type="paragraph" w:styleId="TOC6">
    <w:name w:val="toc 6"/>
    <w:basedOn w:val="Normal"/>
    <w:next w:val="Normal"/>
    <w:autoRedefine/>
    <w:uiPriority w:val="39"/>
    <w:unhideWhenUsed/>
    <w:rsid w:val="00CE796E"/>
    <w:pPr>
      <w:ind w:left="1200"/>
    </w:pPr>
    <w:rPr>
      <w:rFonts w:asciiTheme="minorHAnsi" w:eastAsia="SimSun" w:hAnsiTheme="minorHAnsi"/>
      <w:sz w:val="20"/>
      <w:szCs w:val="20"/>
      <w:lang w:eastAsia="en-US"/>
    </w:rPr>
  </w:style>
  <w:style w:type="paragraph" w:styleId="TOC7">
    <w:name w:val="toc 7"/>
    <w:basedOn w:val="Normal"/>
    <w:next w:val="Normal"/>
    <w:autoRedefine/>
    <w:uiPriority w:val="39"/>
    <w:unhideWhenUsed/>
    <w:rsid w:val="00CE796E"/>
    <w:pPr>
      <w:ind w:left="1440"/>
    </w:pPr>
    <w:rPr>
      <w:rFonts w:asciiTheme="minorHAnsi" w:eastAsia="SimSun" w:hAnsiTheme="minorHAnsi"/>
      <w:sz w:val="20"/>
      <w:szCs w:val="20"/>
      <w:lang w:eastAsia="en-US"/>
    </w:rPr>
  </w:style>
  <w:style w:type="paragraph" w:styleId="TOC8">
    <w:name w:val="toc 8"/>
    <w:basedOn w:val="Normal"/>
    <w:next w:val="Normal"/>
    <w:autoRedefine/>
    <w:uiPriority w:val="39"/>
    <w:unhideWhenUsed/>
    <w:rsid w:val="00CE796E"/>
    <w:pPr>
      <w:ind w:left="1680"/>
    </w:pPr>
    <w:rPr>
      <w:rFonts w:asciiTheme="minorHAnsi" w:eastAsia="SimSun" w:hAnsiTheme="minorHAnsi"/>
      <w:sz w:val="20"/>
      <w:szCs w:val="20"/>
      <w:lang w:eastAsia="en-US"/>
    </w:rPr>
  </w:style>
  <w:style w:type="paragraph" w:styleId="TOC9">
    <w:name w:val="toc 9"/>
    <w:basedOn w:val="Normal"/>
    <w:next w:val="Normal"/>
    <w:autoRedefine/>
    <w:uiPriority w:val="39"/>
    <w:unhideWhenUsed/>
    <w:rsid w:val="00CE796E"/>
    <w:pPr>
      <w:ind w:left="1920"/>
    </w:pPr>
    <w:rPr>
      <w:rFonts w:asciiTheme="minorHAnsi" w:eastAsia="SimSun" w:hAnsiTheme="minorHAnsi"/>
      <w:sz w:val="20"/>
      <w:szCs w:val="20"/>
      <w:lang w:eastAsia="en-US"/>
    </w:rPr>
  </w:style>
  <w:style w:type="character" w:styleId="FollowedHyperlink">
    <w:name w:val="FollowedHyperlink"/>
    <w:basedOn w:val="DefaultParagraphFont"/>
    <w:uiPriority w:val="99"/>
    <w:semiHidden/>
    <w:unhideWhenUsed/>
    <w:rsid w:val="005936CD"/>
    <w:rPr>
      <w:color w:val="800080" w:themeColor="followedHyperlink"/>
      <w:u w:val="single"/>
    </w:rPr>
  </w:style>
  <w:style w:type="character" w:styleId="PlaceholderText">
    <w:name w:val="Placeholder Text"/>
    <w:basedOn w:val="DefaultParagraphFont"/>
    <w:uiPriority w:val="99"/>
    <w:semiHidden/>
    <w:rsid w:val="00832814"/>
    <w:rPr>
      <w:color w:val="808080"/>
    </w:rPr>
  </w:style>
  <w:style w:type="paragraph" w:styleId="TOCHeading">
    <w:name w:val="TOC Heading"/>
    <w:basedOn w:val="Heading1"/>
    <w:next w:val="Normal"/>
    <w:uiPriority w:val="39"/>
    <w:unhideWhenUsed/>
    <w:qFormat/>
    <w:rsid w:val="00623B57"/>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apple-converted-space">
    <w:name w:val="apple-converted-space"/>
    <w:basedOn w:val="DefaultParagraphFont"/>
    <w:rsid w:val="001A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26143">
      <w:bodyDiv w:val="1"/>
      <w:marLeft w:val="0"/>
      <w:marRight w:val="0"/>
      <w:marTop w:val="0"/>
      <w:marBottom w:val="0"/>
      <w:divBdr>
        <w:top w:val="none" w:sz="0" w:space="0" w:color="auto"/>
        <w:left w:val="none" w:sz="0" w:space="0" w:color="auto"/>
        <w:bottom w:val="none" w:sz="0" w:space="0" w:color="auto"/>
        <w:right w:val="none" w:sz="0" w:space="0" w:color="auto"/>
      </w:divBdr>
    </w:div>
    <w:div w:id="316998220">
      <w:bodyDiv w:val="1"/>
      <w:marLeft w:val="0"/>
      <w:marRight w:val="0"/>
      <w:marTop w:val="0"/>
      <w:marBottom w:val="0"/>
      <w:divBdr>
        <w:top w:val="none" w:sz="0" w:space="0" w:color="auto"/>
        <w:left w:val="none" w:sz="0" w:space="0" w:color="auto"/>
        <w:bottom w:val="none" w:sz="0" w:space="0" w:color="auto"/>
        <w:right w:val="none" w:sz="0" w:space="0" w:color="auto"/>
      </w:divBdr>
    </w:div>
    <w:div w:id="439684219">
      <w:bodyDiv w:val="1"/>
      <w:marLeft w:val="0"/>
      <w:marRight w:val="0"/>
      <w:marTop w:val="0"/>
      <w:marBottom w:val="0"/>
      <w:divBdr>
        <w:top w:val="none" w:sz="0" w:space="0" w:color="auto"/>
        <w:left w:val="none" w:sz="0" w:space="0" w:color="auto"/>
        <w:bottom w:val="none" w:sz="0" w:space="0" w:color="auto"/>
        <w:right w:val="none" w:sz="0" w:space="0" w:color="auto"/>
      </w:divBdr>
    </w:div>
    <w:div w:id="586302968">
      <w:bodyDiv w:val="1"/>
      <w:marLeft w:val="0"/>
      <w:marRight w:val="0"/>
      <w:marTop w:val="0"/>
      <w:marBottom w:val="0"/>
      <w:divBdr>
        <w:top w:val="none" w:sz="0" w:space="0" w:color="auto"/>
        <w:left w:val="none" w:sz="0" w:space="0" w:color="auto"/>
        <w:bottom w:val="none" w:sz="0" w:space="0" w:color="auto"/>
        <w:right w:val="none" w:sz="0" w:space="0" w:color="auto"/>
      </w:divBdr>
    </w:div>
    <w:div w:id="683047760">
      <w:bodyDiv w:val="1"/>
      <w:marLeft w:val="0"/>
      <w:marRight w:val="0"/>
      <w:marTop w:val="0"/>
      <w:marBottom w:val="0"/>
      <w:divBdr>
        <w:top w:val="none" w:sz="0" w:space="0" w:color="auto"/>
        <w:left w:val="none" w:sz="0" w:space="0" w:color="auto"/>
        <w:bottom w:val="none" w:sz="0" w:space="0" w:color="auto"/>
        <w:right w:val="none" w:sz="0" w:space="0" w:color="auto"/>
      </w:divBdr>
    </w:div>
    <w:div w:id="687298901">
      <w:bodyDiv w:val="1"/>
      <w:marLeft w:val="0"/>
      <w:marRight w:val="0"/>
      <w:marTop w:val="0"/>
      <w:marBottom w:val="0"/>
      <w:divBdr>
        <w:top w:val="none" w:sz="0" w:space="0" w:color="auto"/>
        <w:left w:val="none" w:sz="0" w:space="0" w:color="auto"/>
        <w:bottom w:val="none" w:sz="0" w:space="0" w:color="auto"/>
        <w:right w:val="none" w:sz="0" w:space="0" w:color="auto"/>
      </w:divBdr>
    </w:div>
    <w:div w:id="819884130">
      <w:bodyDiv w:val="1"/>
      <w:marLeft w:val="0"/>
      <w:marRight w:val="0"/>
      <w:marTop w:val="0"/>
      <w:marBottom w:val="0"/>
      <w:divBdr>
        <w:top w:val="none" w:sz="0" w:space="0" w:color="auto"/>
        <w:left w:val="none" w:sz="0" w:space="0" w:color="auto"/>
        <w:bottom w:val="none" w:sz="0" w:space="0" w:color="auto"/>
        <w:right w:val="none" w:sz="0" w:space="0" w:color="auto"/>
      </w:divBdr>
    </w:div>
    <w:div w:id="1066756046">
      <w:bodyDiv w:val="1"/>
      <w:marLeft w:val="0"/>
      <w:marRight w:val="0"/>
      <w:marTop w:val="0"/>
      <w:marBottom w:val="0"/>
      <w:divBdr>
        <w:top w:val="none" w:sz="0" w:space="0" w:color="auto"/>
        <w:left w:val="none" w:sz="0" w:space="0" w:color="auto"/>
        <w:bottom w:val="none" w:sz="0" w:space="0" w:color="auto"/>
        <w:right w:val="none" w:sz="0" w:space="0" w:color="auto"/>
      </w:divBdr>
      <w:divsChild>
        <w:div w:id="593324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11084">
              <w:marLeft w:val="0"/>
              <w:marRight w:val="0"/>
              <w:marTop w:val="0"/>
              <w:marBottom w:val="0"/>
              <w:divBdr>
                <w:top w:val="none" w:sz="0" w:space="0" w:color="auto"/>
                <w:left w:val="none" w:sz="0" w:space="0" w:color="auto"/>
                <w:bottom w:val="none" w:sz="0" w:space="0" w:color="auto"/>
                <w:right w:val="none" w:sz="0" w:space="0" w:color="auto"/>
              </w:divBdr>
              <w:divsChild>
                <w:div w:id="19375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12018">
      <w:bodyDiv w:val="1"/>
      <w:marLeft w:val="0"/>
      <w:marRight w:val="0"/>
      <w:marTop w:val="0"/>
      <w:marBottom w:val="0"/>
      <w:divBdr>
        <w:top w:val="none" w:sz="0" w:space="0" w:color="auto"/>
        <w:left w:val="none" w:sz="0" w:space="0" w:color="auto"/>
        <w:bottom w:val="none" w:sz="0" w:space="0" w:color="auto"/>
        <w:right w:val="none" w:sz="0" w:space="0" w:color="auto"/>
      </w:divBdr>
    </w:div>
    <w:div w:id="1101143546">
      <w:bodyDiv w:val="1"/>
      <w:marLeft w:val="0"/>
      <w:marRight w:val="0"/>
      <w:marTop w:val="0"/>
      <w:marBottom w:val="0"/>
      <w:divBdr>
        <w:top w:val="none" w:sz="0" w:space="0" w:color="auto"/>
        <w:left w:val="none" w:sz="0" w:space="0" w:color="auto"/>
        <w:bottom w:val="none" w:sz="0" w:space="0" w:color="auto"/>
        <w:right w:val="none" w:sz="0" w:space="0" w:color="auto"/>
      </w:divBdr>
    </w:div>
    <w:div w:id="1169102431">
      <w:bodyDiv w:val="1"/>
      <w:marLeft w:val="0"/>
      <w:marRight w:val="0"/>
      <w:marTop w:val="0"/>
      <w:marBottom w:val="0"/>
      <w:divBdr>
        <w:top w:val="none" w:sz="0" w:space="0" w:color="auto"/>
        <w:left w:val="none" w:sz="0" w:space="0" w:color="auto"/>
        <w:bottom w:val="none" w:sz="0" w:space="0" w:color="auto"/>
        <w:right w:val="none" w:sz="0" w:space="0" w:color="auto"/>
      </w:divBdr>
    </w:div>
    <w:div w:id="1217009994">
      <w:bodyDiv w:val="1"/>
      <w:marLeft w:val="0"/>
      <w:marRight w:val="0"/>
      <w:marTop w:val="0"/>
      <w:marBottom w:val="0"/>
      <w:divBdr>
        <w:top w:val="none" w:sz="0" w:space="0" w:color="auto"/>
        <w:left w:val="none" w:sz="0" w:space="0" w:color="auto"/>
        <w:bottom w:val="none" w:sz="0" w:space="0" w:color="auto"/>
        <w:right w:val="none" w:sz="0" w:space="0" w:color="auto"/>
      </w:divBdr>
    </w:div>
    <w:div w:id="1227187996">
      <w:bodyDiv w:val="1"/>
      <w:marLeft w:val="0"/>
      <w:marRight w:val="0"/>
      <w:marTop w:val="0"/>
      <w:marBottom w:val="0"/>
      <w:divBdr>
        <w:top w:val="none" w:sz="0" w:space="0" w:color="auto"/>
        <w:left w:val="none" w:sz="0" w:space="0" w:color="auto"/>
        <w:bottom w:val="none" w:sz="0" w:space="0" w:color="auto"/>
        <w:right w:val="none" w:sz="0" w:space="0" w:color="auto"/>
      </w:divBdr>
    </w:div>
    <w:div w:id="1266305364">
      <w:bodyDiv w:val="1"/>
      <w:marLeft w:val="0"/>
      <w:marRight w:val="0"/>
      <w:marTop w:val="0"/>
      <w:marBottom w:val="0"/>
      <w:divBdr>
        <w:top w:val="none" w:sz="0" w:space="0" w:color="auto"/>
        <w:left w:val="none" w:sz="0" w:space="0" w:color="auto"/>
        <w:bottom w:val="none" w:sz="0" w:space="0" w:color="auto"/>
        <w:right w:val="none" w:sz="0" w:space="0" w:color="auto"/>
      </w:divBdr>
    </w:div>
    <w:div w:id="1280065605">
      <w:bodyDiv w:val="1"/>
      <w:marLeft w:val="0"/>
      <w:marRight w:val="0"/>
      <w:marTop w:val="0"/>
      <w:marBottom w:val="0"/>
      <w:divBdr>
        <w:top w:val="none" w:sz="0" w:space="0" w:color="auto"/>
        <w:left w:val="none" w:sz="0" w:space="0" w:color="auto"/>
        <w:bottom w:val="none" w:sz="0" w:space="0" w:color="auto"/>
        <w:right w:val="none" w:sz="0" w:space="0" w:color="auto"/>
      </w:divBdr>
    </w:div>
    <w:div w:id="1329286709">
      <w:bodyDiv w:val="1"/>
      <w:marLeft w:val="0"/>
      <w:marRight w:val="0"/>
      <w:marTop w:val="0"/>
      <w:marBottom w:val="0"/>
      <w:divBdr>
        <w:top w:val="none" w:sz="0" w:space="0" w:color="auto"/>
        <w:left w:val="none" w:sz="0" w:space="0" w:color="auto"/>
        <w:bottom w:val="none" w:sz="0" w:space="0" w:color="auto"/>
        <w:right w:val="none" w:sz="0" w:space="0" w:color="auto"/>
      </w:divBdr>
      <w:divsChild>
        <w:div w:id="2105104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208906">
              <w:marLeft w:val="0"/>
              <w:marRight w:val="0"/>
              <w:marTop w:val="0"/>
              <w:marBottom w:val="0"/>
              <w:divBdr>
                <w:top w:val="none" w:sz="0" w:space="0" w:color="auto"/>
                <w:left w:val="none" w:sz="0" w:space="0" w:color="auto"/>
                <w:bottom w:val="none" w:sz="0" w:space="0" w:color="auto"/>
                <w:right w:val="none" w:sz="0" w:space="0" w:color="auto"/>
              </w:divBdr>
              <w:divsChild>
                <w:div w:id="1106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77102">
      <w:bodyDiv w:val="1"/>
      <w:marLeft w:val="0"/>
      <w:marRight w:val="0"/>
      <w:marTop w:val="0"/>
      <w:marBottom w:val="0"/>
      <w:divBdr>
        <w:top w:val="none" w:sz="0" w:space="0" w:color="auto"/>
        <w:left w:val="none" w:sz="0" w:space="0" w:color="auto"/>
        <w:bottom w:val="none" w:sz="0" w:space="0" w:color="auto"/>
        <w:right w:val="none" w:sz="0" w:space="0" w:color="auto"/>
      </w:divBdr>
    </w:div>
    <w:div w:id="1422918544">
      <w:bodyDiv w:val="1"/>
      <w:marLeft w:val="0"/>
      <w:marRight w:val="0"/>
      <w:marTop w:val="0"/>
      <w:marBottom w:val="0"/>
      <w:divBdr>
        <w:top w:val="none" w:sz="0" w:space="0" w:color="auto"/>
        <w:left w:val="none" w:sz="0" w:space="0" w:color="auto"/>
        <w:bottom w:val="none" w:sz="0" w:space="0" w:color="auto"/>
        <w:right w:val="none" w:sz="0" w:space="0" w:color="auto"/>
      </w:divBdr>
    </w:div>
    <w:div w:id="1498494687">
      <w:bodyDiv w:val="1"/>
      <w:marLeft w:val="0"/>
      <w:marRight w:val="0"/>
      <w:marTop w:val="0"/>
      <w:marBottom w:val="0"/>
      <w:divBdr>
        <w:top w:val="none" w:sz="0" w:space="0" w:color="auto"/>
        <w:left w:val="none" w:sz="0" w:space="0" w:color="auto"/>
        <w:bottom w:val="none" w:sz="0" w:space="0" w:color="auto"/>
        <w:right w:val="none" w:sz="0" w:space="0" w:color="auto"/>
      </w:divBdr>
    </w:div>
    <w:div w:id="1499998948">
      <w:bodyDiv w:val="1"/>
      <w:marLeft w:val="0"/>
      <w:marRight w:val="0"/>
      <w:marTop w:val="0"/>
      <w:marBottom w:val="0"/>
      <w:divBdr>
        <w:top w:val="none" w:sz="0" w:space="0" w:color="auto"/>
        <w:left w:val="none" w:sz="0" w:space="0" w:color="auto"/>
        <w:bottom w:val="none" w:sz="0" w:space="0" w:color="auto"/>
        <w:right w:val="none" w:sz="0" w:space="0" w:color="auto"/>
      </w:divBdr>
    </w:div>
    <w:div w:id="1528983572">
      <w:bodyDiv w:val="1"/>
      <w:marLeft w:val="0"/>
      <w:marRight w:val="0"/>
      <w:marTop w:val="0"/>
      <w:marBottom w:val="0"/>
      <w:divBdr>
        <w:top w:val="none" w:sz="0" w:space="0" w:color="auto"/>
        <w:left w:val="none" w:sz="0" w:space="0" w:color="auto"/>
        <w:bottom w:val="none" w:sz="0" w:space="0" w:color="auto"/>
        <w:right w:val="none" w:sz="0" w:space="0" w:color="auto"/>
      </w:divBdr>
    </w:div>
    <w:div w:id="1597521311">
      <w:bodyDiv w:val="1"/>
      <w:marLeft w:val="0"/>
      <w:marRight w:val="0"/>
      <w:marTop w:val="0"/>
      <w:marBottom w:val="0"/>
      <w:divBdr>
        <w:top w:val="none" w:sz="0" w:space="0" w:color="auto"/>
        <w:left w:val="none" w:sz="0" w:space="0" w:color="auto"/>
        <w:bottom w:val="none" w:sz="0" w:space="0" w:color="auto"/>
        <w:right w:val="none" w:sz="0" w:space="0" w:color="auto"/>
      </w:divBdr>
    </w:div>
    <w:div w:id="1770076543">
      <w:bodyDiv w:val="1"/>
      <w:marLeft w:val="0"/>
      <w:marRight w:val="0"/>
      <w:marTop w:val="0"/>
      <w:marBottom w:val="0"/>
      <w:divBdr>
        <w:top w:val="none" w:sz="0" w:space="0" w:color="auto"/>
        <w:left w:val="none" w:sz="0" w:space="0" w:color="auto"/>
        <w:bottom w:val="none" w:sz="0" w:space="0" w:color="auto"/>
        <w:right w:val="none" w:sz="0" w:space="0" w:color="auto"/>
      </w:divBdr>
    </w:div>
    <w:div w:id="1784231349">
      <w:bodyDiv w:val="1"/>
      <w:marLeft w:val="0"/>
      <w:marRight w:val="0"/>
      <w:marTop w:val="0"/>
      <w:marBottom w:val="0"/>
      <w:divBdr>
        <w:top w:val="none" w:sz="0" w:space="0" w:color="auto"/>
        <w:left w:val="none" w:sz="0" w:space="0" w:color="auto"/>
        <w:bottom w:val="none" w:sz="0" w:space="0" w:color="auto"/>
        <w:right w:val="none" w:sz="0" w:space="0" w:color="auto"/>
      </w:divBdr>
    </w:div>
    <w:div w:id="1826386785">
      <w:bodyDiv w:val="1"/>
      <w:marLeft w:val="0"/>
      <w:marRight w:val="0"/>
      <w:marTop w:val="0"/>
      <w:marBottom w:val="0"/>
      <w:divBdr>
        <w:top w:val="none" w:sz="0" w:space="0" w:color="auto"/>
        <w:left w:val="none" w:sz="0" w:space="0" w:color="auto"/>
        <w:bottom w:val="none" w:sz="0" w:space="0" w:color="auto"/>
        <w:right w:val="none" w:sz="0" w:space="0" w:color="auto"/>
      </w:divBdr>
    </w:div>
    <w:div w:id="2012222742">
      <w:bodyDiv w:val="1"/>
      <w:marLeft w:val="0"/>
      <w:marRight w:val="0"/>
      <w:marTop w:val="0"/>
      <w:marBottom w:val="0"/>
      <w:divBdr>
        <w:top w:val="none" w:sz="0" w:space="0" w:color="auto"/>
        <w:left w:val="none" w:sz="0" w:space="0" w:color="auto"/>
        <w:bottom w:val="none" w:sz="0" w:space="0" w:color="auto"/>
        <w:right w:val="none" w:sz="0" w:space="0" w:color="auto"/>
      </w:divBdr>
    </w:div>
    <w:div w:id="2114399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tea.21484" TargetMode="External"/><Relationship Id="rId21" Type="http://schemas.openxmlformats.org/officeDocument/2006/relationships/image" Target="media/image7.png"/><Relationship Id="rId34" Type="http://schemas.openxmlformats.org/officeDocument/2006/relationships/hyperlink" Target="https://doi.org/10.3102%2F0162373713493129" TargetMode="External"/><Relationship Id="rId42" Type="http://schemas.openxmlformats.org/officeDocument/2006/relationships/hyperlink" Target="https://doi.org/10.1002/sce.21123" TargetMode="External"/><Relationship Id="rId47" Type="http://schemas.openxmlformats.org/officeDocument/2006/relationships/hyperlink" Target="http://images.pearsonassessments.com/images/tmrs/Where_is_the_Value_in_Valu%20e-Added_Modeling.pdf" TargetMode="External"/><Relationship Id="rId50" Type="http://schemas.openxmlformats.org/officeDocument/2006/relationships/hyperlink" Target="https://www.openscied.org/design-specifications/" TargetMode="External"/><Relationship Id="rId55" Type="http://schemas.openxmlformats.org/officeDocument/2006/relationships/hyperlink" Target="https://doi.org/10.3102/0013189X15575345"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carbontime.bscs.org/sites/default/files/research/conference-presentations/4_CovittetalNARST2020.pdf" TargetMode="External"/><Relationship Id="rId11" Type="http://schemas.openxmlformats.org/officeDocument/2006/relationships/hyperlink" Target="https://urldefense.com/v3/__http:/carbontime.bscs.org/__;!!BpyFHLRN4TMTrA!vQx_ZmnEGIhC65VtvMYRdk60BVy5_8sNUws0yCGCE_5Ck0T6ejcc1HiEg_lURpr95s99$" TargetMode="External"/><Relationship Id="rId24" Type="http://schemas.openxmlformats.org/officeDocument/2006/relationships/hyperlink" Target="https://www.act.org/content/dam/act/unsecured/documents/Condition-of-College-and-Career-Readiness-Report-2015-United-States.pdf" TargetMode="External"/><Relationship Id="rId32" Type="http://schemas.openxmlformats.org/officeDocument/2006/relationships/hyperlink" Target="https://edbuild.org/content/23-billion/full-report.pdf" TargetMode="External"/><Relationship Id="rId37" Type="http://schemas.openxmlformats.org/officeDocument/2006/relationships/hyperlink" Target="https://doi.org/10.1162/EDFP_a_00153" TargetMode="External"/><Relationship Id="rId40" Type="http://schemas.openxmlformats.org/officeDocument/2006/relationships/hyperlink" Target="https://doi.org/10.3102%2F0002831210387916" TargetMode="External"/><Relationship Id="rId45" Type="http://schemas.openxmlformats.org/officeDocument/2006/relationships/hyperlink" Target="https://doi.org/10.1002/tea.20314" TargetMode="External"/><Relationship Id="rId53" Type="http://schemas.openxmlformats.org/officeDocument/2006/relationships/hyperlink" Target="https://doi.org/10.1002/tea.21001" TargetMode="External"/><Relationship Id="rId58" Type="http://schemas.openxmlformats.org/officeDocument/2006/relationships/hyperlink" Target="https://doi.org/10.1080/07370008.2020.1763349"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s://doi.org/10.1111/emip.12165" TargetMode="External"/><Relationship Id="rId1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horizon-research.com/NSSME/2018-nssme/research-products/reports/technical-report" TargetMode="External"/><Relationship Id="rId30" Type="http://schemas.openxmlformats.org/officeDocument/2006/relationships/hyperlink" Target="https://doi.org/10.1111/j.1467-9620.2004.00422.x" TargetMode="External"/><Relationship Id="rId35" Type="http://schemas.openxmlformats.org/officeDocument/2006/relationships/hyperlink" Target="https://doi.org/10.1177%2F0049124100029002001" TargetMode="External"/><Relationship Id="rId43" Type="http://schemas.openxmlformats.org/officeDocument/2006/relationships/hyperlink" Target="https://doi.org/10.3102/10769986013004319" TargetMode="External"/><Relationship Id="rId48" Type="http://schemas.openxmlformats.org/officeDocument/2006/relationships/hyperlink" Target="https://www.nextgenscience.org/" TargetMode="External"/><Relationship Id="rId56" Type="http://schemas.openxmlformats.org/officeDocument/2006/relationships/hyperlink" Target="https://eric.ed.gov/?id=ED511988"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doi.org/10.1002/tea.21068"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hyperlink" Target="http://www7.nationalacademies.org/bose/Anderson_Framework_Paper.pdf" TargetMode="External"/><Relationship Id="rId33" Type="http://schemas.openxmlformats.org/officeDocument/2006/relationships/hyperlink" Target="https://doi.org/10.3102/0091732X023001171" TargetMode="External"/><Relationship Id="rId38" Type="http://schemas.openxmlformats.org/officeDocument/2006/relationships/hyperlink" Target="https://doi.org/10.1257/aer.100.2.267" TargetMode="External"/><Relationship Id="rId46" Type="http://schemas.openxmlformats.org/officeDocument/2006/relationships/hyperlink" Target="https://carbontime.bscs.org/conference-presentations" TargetMode="External"/><Relationship Id="rId59" Type="http://schemas.openxmlformats.org/officeDocument/2006/relationships/hyperlink" Target="https://doi.org/10.1198/016214508000000733"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10.1002/tea.21051" TargetMode="External"/><Relationship Id="rId54" Type="http://schemas.openxmlformats.org/officeDocument/2006/relationships/hyperlink" Target="https://doi.org/10.1002/sce.21544" TargetMode="External"/><Relationship Id="rId62" Type="http://schemas.openxmlformats.org/officeDocument/2006/relationships/hyperlink" Target="http://dx.doi.org/10.1080/19345747.2016.116478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rbontime.bscs.org/assessment-links" TargetMode="External"/><Relationship Id="rId23" Type="http://schemas.openxmlformats.org/officeDocument/2006/relationships/hyperlink" Target="https://doi.org/10.1086/508733" TargetMode="External"/><Relationship Id="rId28" Type="http://schemas.openxmlformats.org/officeDocument/2006/relationships/hyperlink" Target="https://appam.confex.com/appam/2014/webprogram/Paper11279.html" TargetMode="External"/><Relationship Id="rId36" Type="http://schemas.openxmlformats.org/officeDocument/2006/relationships/hyperlink" Target="https://doi-org.proxy.uchicago.edu/10.3102%2F0002831219831041" TargetMode="External"/><Relationship Id="rId49" Type="http://schemas.openxmlformats.org/officeDocument/2006/relationships/hyperlink" Target="http://nextgenscience.org/sites/default/files/Using%20Phenomena%20in%20NGSS.pdf" TargetMode="External"/><Relationship Id="rId57" Type="http://schemas.openxmlformats.org/officeDocument/2006/relationships/hyperlink" Target="https://doi.org/10.1111/j.1468-0262.2005.00584.x" TargetMode="External"/><Relationship Id="rId10" Type="http://schemas.openxmlformats.org/officeDocument/2006/relationships/endnotes" Target="endnotes.xml"/><Relationship Id="rId31" Type="http://schemas.openxmlformats.org/officeDocument/2006/relationships/hyperlink" Target="http://media.bscs.org/carbontime/files/CarbonTIMEAssessmentValidation.pdf" TargetMode="External"/><Relationship Id="rId44" Type="http://schemas.openxmlformats.org/officeDocument/2006/relationships/hyperlink" Target="https://doi.org/10.1002/sce.20475" TargetMode="External"/><Relationship Id="rId52" Type="http://schemas.openxmlformats.org/officeDocument/2006/relationships/hyperlink" Target="https://doi.org/10.1080/10508406.2018.1552151" TargetMode="External"/><Relationship Id="rId60" Type="http://schemas.openxmlformats.org/officeDocument/2006/relationships/hyperlink" Target="https://doi"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rbontime.bscs.org/" TargetMode="External"/><Relationship Id="rId18" Type="http://schemas.openxmlformats.org/officeDocument/2006/relationships/image" Target="media/image5.png"/><Relationship Id="rId39" Type="http://schemas.openxmlformats.org/officeDocument/2006/relationships/hyperlink" Target="https://doi.org/10.1002/pam.204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ropbox%20(CarbonTIME)\6%20CTIME2%20BEAR\6.2.%20Teacher%20Surveys\6.2.4%20Analysis\Multiple%20years\Output\all4years_CombinedS3_VARIANCEDECOMPOSI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Importance</a:t>
            </a:r>
            <a:r>
              <a:rPr lang="en-US" sz="1100" baseline="0">
                <a:latin typeface="Times New Roman" panose="02020603050405020304" pitchFamily="18" charset="0"/>
                <a:cs typeface="Times New Roman" panose="02020603050405020304" pitchFamily="18" charset="0"/>
              </a:rPr>
              <a:t> of different factors affecting students' learning gains </a:t>
            </a:r>
            <a:endParaRPr lang="en-US" sz="1100">
              <a:solidFill>
                <a:srgbClr val="FF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Vardecomp2_gain!$M$11</c:f>
              <c:strCache>
                <c:ptCount val="1"/>
                <c:pt idx="0">
                  <c:v>Blank (just for plot purpose) </c:v>
                </c:pt>
              </c:strCache>
            </c:strRef>
          </c:tx>
          <c:spPr>
            <a:solidFill>
              <a:schemeClr val="accent2"/>
            </a:solidFill>
            <a:ln>
              <a:noFill/>
            </a:ln>
            <a:effectLst/>
          </c:spPr>
          <c:invertIfNegative val="0"/>
          <c:cat>
            <c:strRef>
              <c:f>Vardecomp2_gain!$K$12:$K$14</c:f>
              <c:strCache>
                <c:ptCount val="3"/>
                <c:pt idx="0">
                  <c:v>Teacher</c:v>
                </c:pt>
                <c:pt idx="1">
                  <c:v>Students' prior knowledge</c:v>
                </c:pt>
                <c:pt idx="2">
                  <c:v>School factors</c:v>
                </c:pt>
              </c:strCache>
            </c:strRef>
          </c:cat>
          <c:val>
            <c:numRef>
              <c:f>Vardecomp2_gain!$M$12:$M$14</c:f>
              <c:numCache>
                <c:formatCode>0.00%</c:formatCode>
                <c:ptCount val="3"/>
                <c:pt idx="0">
                  <c:v>0</c:v>
                </c:pt>
                <c:pt idx="1">
                  <c:v>0</c:v>
                </c:pt>
                <c:pt idx="2">
                  <c:v>0</c:v>
                </c:pt>
              </c:numCache>
            </c:numRef>
          </c:val>
          <c:extLst>
            <c:ext xmlns:c16="http://schemas.microsoft.com/office/drawing/2014/chart" uri="{C3380CC4-5D6E-409C-BE32-E72D297353CC}">
              <c16:uniqueId val="{00000000-C8B6-7444-B1B7-15FF101624FA}"/>
            </c:ext>
          </c:extLst>
        </c:ser>
        <c:ser>
          <c:idx val="2"/>
          <c:order val="2"/>
          <c:tx>
            <c:strRef>
              <c:f>Vardecomp2_gain!$N$11</c:f>
              <c:strCache>
                <c:ptCount val="1"/>
                <c:pt idx="0">
                  <c:v>Max</c:v>
                </c:pt>
              </c:strCache>
            </c:strRef>
          </c:tx>
          <c:spPr>
            <a:solidFill>
              <a:schemeClr val="accent3"/>
            </a:solidFill>
            <a:ln>
              <a:noFill/>
            </a:ln>
            <a:effectLst/>
          </c:spPr>
          <c:invertIfNegative val="0"/>
          <c:dLbls>
            <c:dLbl>
              <c:idx val="0"/>
              <c:tx>
                <c:rich>
                  <a:bodyPr/>
                  <a:lstStyle/>
                  <a:p>
                    <a:r>
                      <a:rPr lang="en-US"/>
                      <a:t>31.4%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8B6-7444-B1B7-15FF101624FA}"/>
                </c:ext>
              </c:extLst>
            </c:dLbl>
            <c:dLbl>
              <c:idx val="1"/>
              <c:tx>
                <c:rich>
                  <a:bodyPr/>
                  <a:lstStyle/>
                  <a:p>
                    <a:r>
                      <a:rPr lang="en-US"/>
                      <a:t>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8B6-7444-B1B7-15FF101624FA}"/>
                </c:ext>
              </c:extLst>
            </c:dLbl>
            <c:dLbl>
              <c:idx val="2"/>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8B6-7444-B1B7-15FF101624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Vardecomp2_gain!$K$12:$K$14</c:f>
              <c:strCache>
                <c:ptCount val="3"/>
                <c:pt idx="0">
                  <c:v>Teacher</c:v>
                </c:pt>
                <c:pt idx="1">
                  <c:v>Students' prior knowledge</c:v>
                </c:pt>
                <c:pt idx="2">
                  <c:v>School factors</c:v>
                </c:pt>
              </c:strCache>
            </c:strRef>
          </c:cat>
          <c:val>
            <c:numRef>
              <c:f>Vardecomp2_gain!$N$12:$N$14</c:f>
              <c:numCache>
                <c:formatCode>0.00%</c:formatCode>
                <c:ptCount val="3"/>
                <c:pt idx="0">
                  <c:v>0.31437759442443508</c:v>
                </c:pt>
                <c:pt idx="1">
                  <c:v>9.7151013488318338E-2</c:v>
                </c:pt>
                <c:pt idx="2">
                  <c:v>3.9839628589617579E-2</c:v>
                </c:pt>
              </c:numCache>
            </c:numRef>
          </c:val>
          <c:extLst>
            <c:ext xmlns:c16="http://schemas.microsoft.com/office/drawing/2014/chart" uri="{C3380CC4-5D6E-409C-BE32-E72D297353CC}">
              <c16:uniqueId val="{00000004-C8B6-7444-B1B7-15FF101624FA}"/>
            </c:ext>
          </c:extLst>
        </c:ser>
        <c:dLbls>
          <c:showLegendKey val="0"/>
          <c:showVal val="0"/>
          <c:showCatName val="0"/>
          <c:showSerName val="0"/>
          <c:showPercent val="0"/>
          <c:showBubbleSize val="0"/>
        </c:dLbls>
        <c:gapWidth val="219"/>
        <c:overlap val="-27"/>
        <c:axId val="933175096"/>
        <c:axId val="933175880"/>
      </c:barChart>
      <c:barChart>
        <c:barDir val="col"/>
        <c:grouping val="clustered"/>
        <c:varyColors val="0"/>
        <c:ser>
          <c:idx val="0"/>
          <c:order val="0"/>
          <c:tx>
            <c:strRef>
              <c:f>Vardecomp2_gain!$L$11</c:f>
              <c:strCache>
                <c:ptCount val="1"/>
                <c:pt idx="0">
                  <c:v>Min</c:v>
                </c:pt>
              </c:strCache>
            </c:strRef>
          </c:tx>
          <c:spPr>
            <a:solidFill>
              <a:schemeClr val="accent1"/>
            </a:solidFill>
            <a:ln>
              <a:noFill/>
            </a:ln>
            <a:effectLst/>
          </c:spPr>
          <c:invertIfNegative val="0"/>
          <c:dLbls>
            <c:dLbl>
              <c:idx val="0"/>
              <c:layout>
                <c:manualLayout>
                  <c:x val="-3.2388658067581198E-2"/>
                  <c:y val="3.9721933951493834E-3"/>
                </c:manualLayout>
              </c:layout>
              <c:tx>
                <c:rich>
                  <a:bodyPr/>
                  <a:lstStyle/>
                  <a:p>
                    <a:r>
                      <a:rPr lang="en-US"/>
                      <a:t>27.7%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8B6-7444-B1B7-15FF101624FA}"/>
                </c:ext>
              </c:extLst>
            </c:dLbl>
            <c:dLbl>
              <c:idx val="1"/>
              <c:layout>
                <c:manualLayout>
                  <c:x val="-3.0075182491325379E-2"/>
                  <c:y val="1.5888773580597607E-2"/>
                </c:manualLayout>
              </c:layout>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8B6-7444-B1B7-15FF101624FA}"/>
                </c:ext>
              </c:extLst>
            </c:dLbl>
            <c:dLbl>
              <c:idx val="2"/>
              <c:layout>
                <c:manualLayout>
                  <c:x val="-2.5448231338813951E-2"/>
                  <c:y val="1.191658018544826E-2"/>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8B6-7444-B1B7-15FF101624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Vardecomp2_gain!$K$12:$K$14</c:f>
              <c:strCache>
                <c:ptCount val="3"/>
                <c:pt idx="0">
                  <c:v>Teacher</c:v>
                </c:pt>
                <c:pt idx="1">
                  <c:v>Students' prior knowledge</c:v>
                </c:pt>
                <c:pt idx="2">
                  <c:v>School factors</c:v>
                </c:pt>
              </c:strCache>
            </c:strRef>
          </c:cat>
          <c:val>
            <c:numRef>
              <c:f>Vardecomp2_gain!$L$12:$L$14</c:f>
              <c:numCache>
                <c:formatCode>0.00%</c:formatCode>
                <c:ptCount val="3"/>
                <c:pt idx="0">
                  <c:v>0.27694578177146273</c:v>
                </c:pt>
                <c:pt idx="1">
                  <c:v>9.5970580048625936E-2</c:v>
                </c:pt>
                <c:pt idx="2">
                  <c:v>3.8659195149925177E-2</c:v>
                </c:pt>
              </c:numCache>
            </c:numRef>
          </c:val>
          <c:extLst>
            <c:ext xmlns:c16="http://schemas.microsoft.com/office/drawing/2014/chart" uri="{C3380CC4-5D6E-409C-BE32-E72D297353CC}">
              <c16:uniqueId val="{00000008-C8B6-7444-B1B7-15FF101624FA}"/>
            </c:ext>
          </c:extLst>
        </c:ser>
        <c:dLbls>
          <c:showLegendKey val="0"/>
          <c:showVal val="0"/>
          <c:showCatName val="0"/>
          <c:showSerName val="0"/>
          <c:showPercent val="0"/>
          <c:showBubbleSize val="0"/>
        </c:dLbls>
        <c:gapWidth val="310"/>
        <c:overlap val="-16"/>
        <c:axId val="933175488"/>
        <c:axId val="933174704"/>
      </c:barChart>
      <c:catAx>
        <c:axId val="93317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3175880"/>
        <c:crosses val="autoZero"/>
        <c:auto val="1"/>
        <c:lblAlgn val="ctr"/>
        <c:lblOffset val="100"/>
        <c:noMultiLvlLbl val="0"/>
      </c:catAx>
      <c:valAx>
        <c:axId val="933175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3175096"/>
        <c:crosses val="autoZero"/>
        <c:crossBetween val="between"/>
      </c:valAx>
      <c:valAx>
        <c:axId val="933174704"/>
        <c:scaling>
          <c:orientation val="minMax"/>
          <c:max val="0.35000000000000003"/>
        </c:scaling>
        <c:delete val="1"/>
        <c:axPos val="r"/>
        <c:numFmt formatCode="0.00%" sourceLinked="1"/>
        <c:majorTickMark val="out"/>
        <c:minorTickMark val="none"/>
        <c:tickLblPos val="nextTo"/>
        <c:crossAx val="933175488"/>
        <c:crosses val="max"/>
        <c:crossBetween val="between"/>
      </c:valAx>
      <c:catAx>
        <c:axId val="933175488"/>
        <c:scaling>
          <c:orientation val="minMax"/>
        </c:scaling>
        <c:delete val="1"/>
        <c:axPos val="b"/>
        <c:numFmt formatCode="General" sourceLinked="1"/>
        <c:majorTickMark val="out"/>
        <c:minorTickMark val="none"/>
        <c:tickLblPos val="nextTo"/>
        <c:crossAx val="933174704"/>
        <c:crosses val="autoZero"/>
        <c:auto val="1"/>
        <c:lblAlgn val="ctr"/>
        <c:lblOffset val="100"/>
        <c:noMultiLvlLbl val="0"/>
      </c:cat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5EACAEC64C114EA99A1E5284D54B0B" ma:contentTypeVersion="13" ma:contentTypeDescription="Create a new document." ma:contentTypeScope="" ma:versionID="888d06e1a7327c0eca90fcd536c05719">
  <xsd:schema xmlns:xsd="http://www.w3.org/2001/XMLSchema" xmlns:xs="http://www.w3.org/2001/XMLSchema" xmlns:p="http://schemas.microsoft.com/office/2006/metadata/properties" xmlns:ns2="b07244d7-9d87-4a59-9546-7a740651fd8a" xmlns:ns3="ca1d03cc-76f8-4af5-93a5-948228b22d3b" targetNamespace="http://schemas.microsoft.com/office/2006/metadata/properties" ma:root="true" ma:fieldsID="283573697d9e3f4c22376343b11c8736" ns2:_="" ns3:_="">
    <xsd:import namespace="b07244d7-9d87-4a59-9546-7a740651fd8a"/>
    <xsd:import namespace="ca1d03cc-76f8-4af5-93a5-948228b22d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244d7-9d87-4a59-9546-7a740651f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1d03cc-76f8-4af5-93a5-948228b22d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C2A31-C0C6-4723-AD99-C297DE804A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A998E0-2E8A-44AA-BDE9-2D1741B7E2D7}">
  <ds:schemaRefs>
    <ds:schemaRef ds:uri="http://schemas.microsoft.com/sharepoint/v3/contenttype/forms"/>
  </ds:schemaRefs>
</ds:datastoreItem>
</file>

<file path=customXml/itemProps3.xml><?xml version="1.0" encoding="utf-8"?>
<ds:datastoreItem xmlns:ds="http://schemas.openxmlformats.org/officeDocument/2006/customXml" ds:itemID="{663818CE-963D-4DB0-9AE8-0C44FB530C09}">
  <ds:schemaRefs>
    <ds:schemaRef ds:uri="http://schemas.openxmlformats.org/officeDocument/2006/bibliography"/>
  </ds:schemaRefs>
</ds:datastoreItem>
</file>

<file path=customXml/itemProps4.xml><?xml version="1.0" encoding="utf-8"?>
<ds:datastoreItem xmlns:ds="http://schemas.openxmlformats.org/officeDocument/2006/customXml" ds:itemID="{4A7F112D-526D-4B34-898B-1D113F772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244d7-9d87-4a59-9546-7a740651fd8a"/>
    <ds:schemaRef ds:uri="ca1d03cc-76f8-4af5-93a5-948228b22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55</Pages>
  <Words>15343</Words>
  <Characters>87456</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TE 401 Lesson Plans:  Fall, 1997</vt:lpstr>
    </vt:vector>
  </TitlesOfParts>
  <Company>MSU</Company>
  <LinksUpToDate>false</LinksUpToDate>
  <CharactersWithSpaces>102594</CharactersWithSpaces>
  <SharedDoc>false</SharedDoc>
  <HLinks>
    <vt:vector size="372" baseType="variant">
      <vt:variant>
        <vt:i4>720960</vt:i4>
      </vt:variant>
      <vt:variant>
        <vt:i4>267</vt:i4>
      </vt:variant>
      <vt:variant>
        <vt:i4>0</vt:i4>
      </vt:variant>
      <vt:variant>
        <vt:i4>5</vt:i4>
      </vt:variant>
      <vt:variant>
        <vt:lpwstr>https://carbontime.bscs.org/sites/default/files/library/recurring_features_strategies/Three-dimensional_Learrning_in_Carbon_TIME.pdf</vt:lpwstr>
      </vt:variant>
      <vt:variant>
        <vt:lpwstr/>
      </vt:variant>
      <vt:variant>
        <vt:i4>3801212</vt:i4>
      </vt:variant>
      <vt:variant>
        <vt:i4>264</vt:i4>
      </vt:variant>
      <vt:variant>
        <vt:i4>0</vt:i4>
      </vt:variant>
      <vt:variant>
        <vt:i4>5</vt:i4>
      </vt:variant>
      <vt:variant>
        <vt:lpwstr>https://doi.org/10.1111/emip.12165</vt:lpwstr>
      </vt:variant>
      <vt:variant>
        <vt:lpwstr/>
      </vt:variant>
      <vt:variant>
        <vt:i4>5308493</vt:i4>
      </vt:variant>
      <vt:variant>
        <vt:i4>261</vt:i4>
      </vt:variant>
      <vt:variant>
        <vt:i4>0</vt:i4>
      </vt:variant>
      <vt:variant>
        <vt:i4>5</vt:i4>
      </vt:variant>
      <vt:variant>
        <vt:lpwstr>https://doi/</vt:lpwstr>
      </vt:variant>
      <vt:variant>
        <vt:lpwstr/>
      </vt:variant>
      <vt:variant>
        <vt:i4>2490493</vt:i4>
      </vt:variant>
      <vt:variant>
        <vt:i4>258</vt:i4>
      </vt:variant>
      <vt:variant>
        <vt:i4>0</vt:i4>
      </vt:variant>
      <vt:variant>
        <vt:i4>5</vt:i4>
      </vt:variant>
      <vt:variant>
        <vt:lpwstr>https://psycnet.apa.org/doi/10.1287/orsc.1050.0133</vt:lpwstr>
      </vt:variant>
      <vt:variant>
        <vt:lpwstr/>
      </vt:variant>
      <vt:variant>
        <vt:i4>5308495</vt:i4>
      </vt:variant>
      <vt:variant>
        <vt:i4>255</vt:i4>
      </vt:variant>
      <vt:variant>
        <vt:i4>0</vt:i4>
      </vt:variant>
      <vt:variant>
        <vt:i4>5</vt:i4>
      </vt:variant>
      <vt:variant>
        <vt:lpwstr>https://doi.org/10.1002/tea.1039</vt:lpwstr>
      </vt:variant>
      <vt:variant>
        <vt:lpwstr/>
      </vt:variant>
      <vt:variant>
        <vt:i4>95</vt:i4>
      </vt:variant>
      <vt:variant>
        <vt:i4>252</vt:i4>
      </vt:variant>
      <vt:variant>
        <vt:i4>0</vt:i4>
      </vt:variant>
      <vt:variant>
        <vt:i4>5</vt:i4>
      </vt:variant>
      <vt:variant>
        <vt:lpwstr>https://doi-org.proxy.uchicago.edu/10.1080/07370008.2020.1763349</vt:lpwstr>
      </vt:variant>
      <vt:variant>
        <vt:lpwstr/>
      </vt:variant>
      <vt:variant>
        <vt:i4>76</vt:i4>
      </vt:variant>
      <vt:variant>
        <vt:i4>249</vt:i4>
      </vt:variant>
      <vt:variant>
        <vt:i4>0</vt:i4>
      </vt:variant>
      <vt:variant>
        <vt:i4>5</vt:i4>
      </vt:variant>
      <vt:variant>
        <vt:lpwstr>https://eric/</vt:lpwstr>
      </vt:variant>
      <vt:variant>
        <vt:lpwstr/>
      </vt:variant>
      <vt:variant>
        <vt:i4>5636181</vt:i4>
      </vt:variant>
      <vt:variant>
        <vt:i4>246</vt:i4>
      </vt:variant>
      <vt:variant>
        <vt:i4>0</vt:i4>
      </vt:variant>
      <vt:variant>
        <vt:i4>5</vt:i4>
      </vt:variant>
      <vt:variant>
        <vt:lpwstr>https://doi.org/10.3102/0013189X15575345</vt:lpwstr>
      </vt:variant>
      <vt:variant>
        <vt:lpwstr/>
      </vt:variant>
      <vt:variant>
        <vt:i4>5963849</vt:i4>
      </vt:variant>
      <vt:variant>
        <vt:i4>243</vt:i4>
      </vt:variant>
      <vt:variant>
        <vt:i4>0</vt:i4>
      </vt:variant>
      <vt:variant>
        <vt:i4>5</vt:i4>
      </vt:variant>
      <vt:variant>
        <vt:lpwstr>https://doi.org/10.1002/sce.21544</vt:lpwstr>
      </vt:variant>
      <vt:variant>
        <vt:lpwstr/>
      </vt:variant>
      <vt:variant>
        <vt:i4>5832783</vt:i4>
      </vt:variant>
      <vt:variant>
        <vt:i4>240</vt:i4>
      </vt:variant>
      <vt:variant>
        <vt:i4>0</vt:i4>
      </vt:variant>
      <vt:variant>
        <vt:i4>5</vt:i4>
      </vt:variant>
      <vt:variant>
        <vt:lpwstr>https://doi.org/10.1002/tea.21001</vt:lpwstr>
      </vt:variant>
      <vt:variant>
        <vt:lpwstr/>
      </vt:variant>
      <vt:variant>
        <vt:i4>393285</vt:i4>
      </vt:variant>
      <vt:variant>
        <vt:i4>237</vt:i4>
      </vt:variant>
      <vt:variant>
        <vt:i4>0</vt:i4>
      </vt:variant>
      <vt:variant>
        <vt:i4>5</vt:i4>
      </vt:variant>
      <vt:variant>
        <vt:lpwstr>https://doi.org/10.1080/10508406.2018.1552151</vt:lpwstr>
      </vt:variant>
      <vt:variant>
        <vt:lpwstr/>
      </vt:variant>
      <vt:variant>
        <vt:i4>6225999</vt:i4>
      </vt:variant>
      <vt:variant>
        <vt:i4>234</vt:i4>
      </vt:variant>
      <vt:variant>
        <vt:i4>0</vt:i4>
      </vt:variant>
      <vt:variant>
        <vt:i4>5</vt:i4>
      </vt:variant>
      <vt:variant>
        <vt:lpwstr>https://doi.org/10.1002/tea.21068</vt:lpwstr>
      </vt:variant>
      <vt:variant>
        <vt:lpwstr/>
      </vt:variant>
      <vt:variant>
        <vt:i4>1966111</vt:i4>
      </vt:variant>
      <vt:variant>
        <vt:i4>231</vt:i4>
      </vt:variant>
      <vt:variant>
        <vt:i4>0</vt:i4>
      </vt:variant>
      <vt:variant>
        <vt:i4>5</vt:i4>
      </vt:variant>
      <vt:variant>
        <vt:lpwstr>https://www.openscied.org/design-specifications/</vt:lpwstr>
      </vt:variant>
      <vt:variant>
        <vt:lpwstr/>
      </vt:variant>
      <vt:variant>
        <vt:i4>4456514</vt:i4>
      </vt:variant>
      <vt:variant>
        <vt:i4>228</vt:i4>
      </vt:variant>
      <vt:variant>
        <vt:i4>0</vt:i4>
      </vt:variant>
      <vt:variant>
        <vt:i4>5</vt:i4>
      </vt:variant>
      <vt:variant>
        <vt:lpwstr>http://nextgenscience.org/sites/default/files/Using Phenomena in NGSS.pdf</vt:lpwstr>
      </vt:variant>
      <vt:variant>
        <vt:lpwstr/>
      </vt:variant>
      <vt:variant>
        <vt:i4>2424934</vt:i4>
      </vt:variant>
      <vt:variant>
        <vt:i4>225</vt:i4>
      </vt:variant>
      <vt:variant>
        <vt:i4>0</vt:i4>
      </vt:variant>
      <vt:variant>
        <vt:i4>5</vt:i4>
      </vt:variant>
      <vt:variant>
        <vt:lpwstr>https://www.nextgenscience.org/</vt:lpwstr>
      </vt:variant>
      <vt:variant>
        <vt:lpwstr/>
      </vt:variant>
      <vt:variant>
        <vt:i4>5963785</vt:i4>
      </vt:variant>
      <vt:variant>
        <vt:i4>222</vt:i4>
      </vt:variant>
      <vt:variant>
        <vt:i4>0</vt:i4>
      </vt:variant>
      <vt:variant>
        <vt:i4>5</vt:i4>
      </vt:variant>
      <vt:variant>
        <vt:lpwstr>http://images.pearsonassessments.com/images/tmrs/Where_is_the_Value_in_Valu e-Added_Modeling.pdf</vt:lpwstr>
      </vt:variant>
      <vt:variant>
        <vt:lpwstr/>
      </vt:variant>
      <vt:variant>
        <vt:i4>1966155</vt:i4>
      </vt:variant>
      <vt:variant>
        <vt:i4>219</vt:i4>
      </vt:variant>
      <vt:variant>
        <vt:i4>0</vt:i4>
      </vt:variant>
      <vt:variant>
        <vt:i4>5</vt:i4>
      </vt:variant>
      <vt:variant>
        <vt:lpwstr>https://carbontime.bscs.org/conference-presentations</vt:lpwstr>
      </vt:variant>
      <vt:variant>
        <vt:lpwstr/>
      </vt:variant>
      <vt:variant>
        <vt:i4>5832780</vt:i4>
      </vt:variant>
      <vt:variant>
        <vt:i4>216</vt:i4>
      </vt:variant>
      <vt:variant>
        <vt:i4>0</vt:i4>
      </vt:variant>
      <vt:variant>
        <vt:i4>5</vt:i4>
      </vt:variant>
      <vt:variant>
        <vt:lpwstr>https://doi.org/10.1002/tea.20314</vt:lpwstr>
      </vt:variant>
      <vt:variant>
        <vt:lpwstr/>
      </vt:variant>
      <vt:variant>
        <vt:i4>6029387</vt:i4>
      </vt:variant>
      <vt:variant>
        <vt:i4>213</vt:i4>
      </vt:variant>
      <vt:variant>
        <vt:i4>0</vt:i4>
      </vt:variant>
      <vt:variant>
        <vt:i4>5</vt:i4>
      </vt:variant>
      <vt:variant>
        <vt:lpwstr>https://doi.org/10.1002/tea.21459</vt:lpwstr>
      </vt:variant>
      <vt:variant>
        <vt:lpwstr/>
      </vt:variant>
      <vt:variant>
        <vt:i4>5505041</vt:i4>
      </vt:variant>
      <vt:variant>
        <vt:i4>210</vt:i4>
      </vt:variant>
      <vt:variant>
        <vt:i4>0</vt:i4>
      </vt:variant>
      <vt:variant>
        <vt:i4>5</vt:i4>
      </vt:variant>
      <vt:variant>
        <vt:lpwstr>https://d.lib.msu.edu/etd/48339/datastream/OBJ/View/</vt:lpwstr>
      </vt:variant>
      <vt:variant>
        <vt:lpwstr/>
      </vt:variant>
      <vt:variant>
        <vt:i4>196635</vt:i4>
      </vt:variant>
      <vt:variant>
        <vt:i4>207</vt:i4>
      </vt:variant>
      <vt:variant>
        <vt:i4>0</vt:i4>
      </vt:variant>
      <vt:variant>
        <vt:i4>5</vt:i4>
      </vt:variant>
      <vt:variant>
        <vt:lpwstr>https://doi.org/10.1007/s10972-016-9487-y</vt:lpwstr>
      </vt:variant>
      <vt:variant>
        <vt:lpwstr/>
      </vt:variant>
      <vt:variant>
        <vt:i4>1835102</vt:i4>
      </vt:variant>
      <vt:variant>
        <vt:i4>204</vt:i4>
      </vt:variant>
      <vt:variant>
        <vt:i4>0</vt:i4>
      </vt:variant>
      <vt:variant>
        <vt:i4>5</vt:i4>
      </vt:variant>
      <vt:variant>
        <vt:lpwstr>https://doi.org/10.3102/10769986013004319</vt:lpwstr>
      </vt:variant>
      <vt:variant>
        <vt:lpwstr/>
      </vt:variant>
      <vt:variant>
        <vt:i4>6029391</vt:i4>
      </vt:variant>
      <vt:variant>
        <vt:i4>201</vt:i4>
      </vt:variant>
      <vt:variant>
        <vt:i4>0</vt:i4>
      </vt:variant>
      <vt:variant>
        <vt:i4>5</vt:i4>
      </vt:variant>
      <vt:variant>
        <vt:lpwstr>https://doi.org/10.1002/tea.21051</vt:lpwstr>
      </vt:variant>
      <vt:variant>
        <vt:lpwstr/>
      </vt:variant>
      <vt:variant>
        <vt:i4>7929958</vt:i4>
      </vt:variant>
      <vt:variant>
        <vt:i4>198</vt:i4>
      </vt:variant>
      <vt:variant>
        <vt:i4>0</vt:i4>
      </vt:variant>
      <vt:variant>
        <vt:i4>5</vt:i4>
      </vt:variant>
      <vt:variant>
        <vt:lpwstr>https://doi.org/10.3102%2F0002831210387916</vt:lpwstr>
      </vt:variant>
      <vt:variant>
        <vt:lpwstr/>
      </vt:variant>
      <vt:variant>
        <vt:i4>5898307</vt:i4>
      </vt:variant>
      <vt:variant>
        <vt:i4>195</vt:i4>
      </vt:variant>
      <vt:variant>
        <vt:i4>0</vt:i4>
      </vt:variant>
      <vt:variant>
        <vt:i4>5</vt:i4>
      </vt:variant>
      <vt:variant>
        <vt:lpwstr>https://doi.org/10.1002/pam.20464</vt:lpwstr>
      </vt:variant>
      <vt:variant>
        <vt:lpwstr/>
      </vt:variant>
      <vt:variant>
        <vt:i4>5374047</vt:i4>
      </vt:variant>
      <vt:variant>
        <vt:i4>192</vt:i4>
      </vt:variant>
      <vt:variant>
        <vt:i4>0</vt:i4>
      </vt:variant>
      <vt:variant>
        <vt:i4>5</vt:i4>
      </vt:variant>
      <vt:variant>
        <vt:lpwstr>https://doi.org/10.1162/EDFP_a_00153</vt:lpwstr>
      </vt:variant>
      <vt:variant>
        <vt:lpwstr/>
      </vt:variant>
      <vt:variant>
        <vt:i4>8126569</vt:i4>
      </vt:variant>
      <vt:variant>
        <vt:i4>189</vt:i4>
      </vt:variant>
      <vt:variant>
        <vt:i4>0</vt:i4>
      </vt:variant>
      <vt:variant>
        <vt:i4>5</vt:i4>
      </vt:variant>
      <vt:variant>
        <vt:lpwstr>https://doi.org/10.3102%2F0162373713493129</vt:lpwstr>
      </vt:variant>
      <vt:variant>
        <vt:lpwstr/>
      </vt:variant>
      <vt:variant>
        <vt:i4>6226007</vt:i4>
      </vt:variant>
      <vt:variant>
        <vt:i4>186</vt:i4>
      </vt:variant>
      <vt:variant>
        <vt:i4>0</vt:i4>
      </vt:variant>
      <vt:variant>
        <vt:i4>5</vt:i4>
      </vt:variant>
      <vt:variant>
        <vt:lpwstr>https://doi.org/10.3102/0091732X023001171</vt:lpwstr>
      </vt:variant>
      <vt:variant>
        <vt:lpwstr/>
      </vt:variant>
      <vt:variant>
        <vt:i4>196675</vt:i4>
      </vt:variant>
      <vt:variant>
        <vt:i4>183</vt:i4>
      </vt:variant>
      <vt:variant>
        <vt:i4>0</vt:i4>
      </vt:variant>
      <vt:variant>
        <vt:i4>5</vt:i4>
      </vt:variant>
      <vt:variant>
        <vt:lpwstr>http://media.bscs.org/carbontime/files/CarbonTIMEAssessmentValidation.pdf</vt:lpwstr>
      </vt:variant>
      <vt:variant>
        <vt:lpwstr/>
      </vt:variant>
      <vt:variant>
        <vt:i4>5242908</vt:i4>
      </vt:variant>
      <vt:variant>
        <vt:i4>180</vt:i4>
      </vt:variant>
      <vt:variant>
        <vt:i4>0</vt:i4>
      </vt:variant>
      <vt:variant>
        <vt:i4>5</vt:i4>
      </vt:variant>
      <vt:variant>
        <vt:lpwstr>https://doi.org/10.1111/j.1467-9620.2004.00422.x</vt:lpwstr>
      </vt:variant>
      <vt:variant>
        <vt:lpwstr/>
      </vt:variant>
      <vt:variant>
        <vt:i4>2490485</vt:i4>
      </vt:variant>
      <vt:variant>
        <vt:i4>177</vt:i4>
      </vt:variant>
      <vt:variant>
        <vt:i4>0</vt:i4>
      </vt:variant>
      <vt:variant>
        <vt:i4>5</vt:i4>
      </vt:variant>
      <vt:variant>
        <vt:lpwstr>https://appam.confex.com/appam/2014/webprogram/Paper11279.html</vt:lpwstr>
      </vt:variant>
      <vt:variant>
        <vt:lpwstr/>
      </vt:variant>
      <vt:variant>
        <vt:i4>5308491</vt:i4>
      </vt:variant>
      <vt:variant>
        <vt:i4>174</vt:i4>
      </vt:variant>
      <vt:variant>
        <vt:i4>0</vt:i4>
      </vt:variant>
      <vt:variant>
        <vt:i4>5</vt:i4>
      </vt:variant>
      <vt:variant>
        <vt:lpwstr>https://doi.org/10.1002/tea.21484</vt:lpwstr>
      </vt:variant>
      <vt:variant>
        <vt:lpwstr/>
      </vt:variant>
      <vt:variant>
        <vt:i4>3080290</vt:i4>
      </vt:variant>
      <vt:variant>
        <vt:i4>171</vt:i4>
      </vt:variant>
      <vt:variant>
        <vt:i4>0</vt:i4>
      </vt:variant>
      <vt:variant>
        <vt:i4>5</vt:i4>
      </vt:variant>
      <vt:variant>
        <vt:lpwstr>https://doi.org/10.1086/508733</vt:lpwstr>
      </vt:variant>
      <vt:variant>
        <vt:lpwstr/>
      </vt:variant>
      <vt:variant>
        <vt:i4>458828</vt:i4>
      </vt:variant>
      <vt:variant>
        <vt:i4>168</vt:i4>
      </vt:variant>
      <vt:variant>
        <vt:i4>0</vt:i4>
      </vt:variant>
      <vt:variant>
        <vt:i4>5</vt:i4>
      </vt:variant>
      <vt:variant>
        <vt:lpwstr>https://carbontime.bscs.org/assessment-links</vt:lpwstr>
      </vt:variant>
      <vt:variant>
        <vt:lpwstr/>
      </vt:variant>
      <vt:variant>
        <vt:i4>131073</vt:i4>
      </vt:variant>
      <vt:variant>
        <vt:i4>165</vt:i4>
      </vt:variant>
      <vt:variant>
        <vt:i4>0</vt:i4>
      </vt:variant>
      <vt:variant>
        <vt:i4>5</vt:i4>
      </vt:variant>
      <vt:variant>
        <vt:lpwstr>https://carbontime.bscs.org/</vt:lpwstr>
      </vt:variant>
      <vt:variant>
        <vt:lpwstr/>
      </vt:variant>
      <vt:variant>
        <vt:i4>1310768</vt:i4>
      </vt:variant>
      <vt:variant>
        <vt:i4>158</vt:i4>
      </vt:variant>
      <vt:variant>
        <vt:i4>0</vt:i4>
      </vt:variant>
      <vt:variant>
        <vt:i4>5</vt:i4>
      </vt:variant>
      <vt:variant>
        <vt:lpwstr/>
      </vt:variant>
      <vt:variant>
        <vt:lpwstr>_Toc64026500</vt:lpwstr>
      </vt:variant>
      <vt:variant>
        <vt:i4>1835065</vt:i4>
      </vt:variant>
      <vt:variant>
        <vt:i4>152</vt:i4>
      </vt:variant>
      <vt:variant>
        <vt:i4>0</vt:i4>
      </vt:variant>
      <vt:variant>
        <vt:i4>5</vt:i4>
      </vt:variant>
      <vt:variant>
        <vt:lpwstr/>
      </vt:variant>
      <vt:variant>
        <vt:lpwstr>_Toc64026499</vt:lpwstr>
      </vt:variant>
      <vt:variant>
        <vt:i4>1900601</vt:i4>
      </vt:variant>
      <vt:variant>
        <vt:i4>146</vt:i4>
      </vt:variant>
      <vt:variant>
        <vt:i4>0</vt:i4>
      </vt:variant>
      <vt:variant>
        <vt:i4>5</vt:i4>
      </vt:variant>
      <vt:variant>
        <vt:lpwstr/>
      </vt:variant>
      <vt:variant>
        <vt:lpwstr>_Toc64026498</vt:lpwstr>
      </vt:variant>
      <vt:variant>
        <vt:i4>1179705</vt:i4>
      </vt:variant>
      <vt:variant>
        <vt:i4>140</vt:i4>
      </vt:variant>
      <vt:variant>
        <vt:i4>0</vt:i4>
      </vt:variant>
      <vt:variant>
        <vt:i4>5</vt:i4>
      </vt:variant>
      <vt:variant>
        <vt:lpwstr/>
      </vt:variant>
      <vt:variant>
        <vt:lpwstr>_Toc64026497</vt:lpwstr>
      </vt:variant>
      <vt:variant>
        <vt:i4>1245241</vt:i4>
      </vt:variant>
      <vt:variant>
        <vt:i4>134</vt:i4>
      </vt:variant>
      <vt:variant>
        <vt:i4>0</vt:i4>
      </vt:variant>
      <vt:variant>
        <vt:i4>5</vt:i4>
      </vt:variant>
      <vt:variant>
        <vt:lpwstr/>
      </vt:variant>
      <vt:variant>
        <vt:lpwstr>_Toc64026496</vt:lpwstr>
      </vt:variant>
      <vt:variant>
        <vt:i4>1048633</vt:i4>
      </vt:variant>
      <vt:variant>
        <vt:i4>128</vt:i4>
      </vt:variant>
      <vt:variant>
        <vt:i4>0</vt:i4>
      </vt:variant>
      <vt:variant>
        <vt:i4>5</vt:i4>
      </vt:variant>
      <vt:variant>
        <vt:lpwstr/>
      </vt:variant>
      <vt:variant>
        <vt:lpwstr>_Toc64026495</vt:lpwstr>
      </vt:variant>
      <vt:variant>
        <vt:i4>1114169</vt:i4>
      </vt:variant>
      <vt:variant>
        <vt:i4>122</vt:i4>
      </vt:variant>
      <vt:variant>
        <vt:i4>0</vt:i4>
      </vt:variant>
      <vt:variant>
        <vt:i4>5</vt:i4>
      </vt:variant>
      <vt:variant>
        <vt:lpwstr/>
      </vt:variant>
      <vt:variant>
        <vt:lpwstr>_Toc64026494</vt:lpwstr>
      </vt:variant>
      <vt:variant>
        <vt:i4>1441849</vt:i4>
      </vt:variant>
      <vt:variant>
        <vt:i4>116</vt:i4>
      </vt:variant>
      <vt:variant>
        <vt:i4>0</vt:i4>
      </vt:variant>
      <vt:variant>
        <vt:i4>5</vt:i4>
      </vt:variant>
      <vt:variant>
        <vt:lpwstr/>
      </vt:variant>
      <vt:variant>
        <vt:lpwstr>_Toc64026493</vt:lpwstr>
      </vt:variant>
      <vt:variant>
        <vt:i4>1507385</vt:i4>
      </vt:variant>
      <vt:variant>
        <vt:i4>110</vt:i4>
      </vt:variant>
      <vt:variant>
        <vt:i4>0</vt:i4>
      </vt:variant>
      <vt:variant>
        <vt:i4>5</vt:i4>
      </vt:variant>
      <vt:variant>
        <vt:lpwstr/>
      </vt:variant>
      <vt:variant>
        <vt:lpwstr>_Toc64026492</vt:lpwstr>
      </vt:variant>
      <vt:variant>
        <vt:i4>1310777</vt:i4>
      </vt:variant>
      <vt:variant>
        <vt:i4>104</vt:i4>
      </vt:variant>
      <vt:variant>
        <vt:i4>0</vt:i4>
      </vt:variant>
      <vt:variant>
        <vt:i4>5</vt:i4>
      </vt:variant>
      <vt:variant>
        <vt:lpwstr/>
      </vt:variant>
      <vt:variant>
        <vt:lpwstr>_Toc64026491</vt:lpwstr>
      </vt:variant>
      <vt:variant>
        <vt:i4>1376313</vt:i4>
      </vt:variant>
      <vt:variant>
        <vt:i4>98</vt:i4>
      </vt:variant>
      <vt:variant>
        <vt:i4>0</vt:i4>
      </vt:variant>
      <vt:variant>
        <vt:i4>5</vt:i4>
      </vt:variant>
      <vt:variant>
        <vt:lpwstr/>
      </vt:variant>
      <vt:variant>
        <vt:lpwstr>_Toc64026490</vt:lpwstr>
      </vt:variant>
      <vt:variant>
        <vt:i4>1835064</vt:i4>
      </vt:variant>
      <vt:variant>
        <vt:i4>92</vt:i4>
      </vt:variant>
      <vt:variant>
        <vt:i4>0</vt:i4>
      </vt:variant>
      <vt:variant>
        <vt:i4>5</vt:i4>
      </vt:variant>
      <vt:variant>
        <vt:lpwstr/>
      </vt:variant>
      <vt:variant>
        <vt:lpwstr>_Toc64026489</vt:lpwstr>
      </vt:variant>
      <vt:variant>
        <vt:i4>1900600</vt:i4>
      </vt:variant>
      <vt:variant>
        <vt:i4>86</vt:i4>
      </vt:variant>
      <vt:variant>
        <vt:i4>0</vt:i4>
      </vt:variant>
      <vt:variant>
        <vt:i4>5</vt:i4>
      </vt:variant>
      <vt:variant>
        <vt:lpwstr/>
      </vt:variant>
      <vt:variant>
        <vt:lpwstr>_Toc64026488</vt:lpwstr>
      </vt:variant>
      <vt:variant>
        <vt:i4>1179704</vt:i4>
      </vt:variant>
      <vt:variant>
        <vt:i4>80</vt:i4>
      </vt:variant>
      <vt:variant>
        <vt:i4>0</vt:i4>
      </vt:variant>
      <vt:variant>
        <vt:i4>5</vt:i4>
      </vt:variant>
      <vt:variant>
        <vt:lpwstr/>
      </vt:variant>
      <vt:variant>
        <vt:lpwstr>_Toc64026487</vt:lpwstr>
      </vt:variant>
      <vt:variant>
        <vt:i4>1245240</vt:i4>
      </vt:variant>
      <vt:variant>
        <vt:i4>74</vt:i4>
      </vt:variant>
      <vt:variant>
        <vt:i4>0</vt:i4>
      </vt:variant>
      <vt:variant>
        <vt:i4>5</vt:i4>
      </vt:variant>
      <vt:variant>
        <vt:lpwstr/>
      </vt:variant>
      <vt:variant>
        <vt:lpwstr>_Toc64026486</vt:lpwstr>
      </vt:variant>
      <vt:variant>
        <vt:i4>1048632</vt:i4>
      </vt:variant>
      <vt:variant>
        <vt:i4>68</vt:i4>
      </vt:variant>
      <vt:variant>
        <vt:i4>0</vt:i4>
      </vt:variant>
      <vt:variant>
        <vt:i4>5</vt:i4>
      </vt:variant>
      <vt:variant>
        <vt:lpwstr/>
      </vt:variant>
      <vt:variant>
        <vt:lpwstr>_Toc64026485</vt:lpwstr>
      </vt:variant>
      <vt:variant>
        <vt:i4>1114168</vt:i4>
      </vt:variant>
      <vt:variant>
        <vt:i4>62</vt:i4>
      </vt:variant>
      <vt:variant>
        <vt:i4>0</vt:i4>
      </vt:variant>
      <vt:variant>
        <vt:i4>5</vt:i4>
      </vt:variant>
      <vt:variant>
        <vt:lpwstr/>
      </vt:variant>
      <vt:variant>
        <vt:lpwstr>_Toc64026484</vt:lpwstr>
      </vt:variant>
      <vt:variant>
        <vt:i4>1441848</vt:i4>
      </vt:variant>
      <vt:variant>
        <vt:i4>56</vt:i4>
      </vt:variant>
      <vt:variant>
        <vt:i4>0</vt:i4>
      </vt:variant>
      <vt:variant>
        <vt:i4>5</vt:i4>
      </vt:variant>
      <vt:variant>
        <vt:lpwstr/>
      </vt:variant>
      <vt:variant>
        <vt:lpwstr>_Toc64026483</vt:lpwstr>
      </vt:variant>
      <vt:variant>
        <vt:i4>1507384</vt:i4>
      </vt:variant>
      <vt:variant>
        <vt:i4>50</vt:i4>
      </vt:variant>
      <vt:variant>
        <vt:i4>0</vt:i4>
      </vt:variant>
      <vt:variant>
        <vt:i4>5</vt:i4>
      </vt:variant>
      <vt:variant>
        <vt:lpwstr/>
      </vt:variant>
      <vt:variant>
        <vt:lpwstr>_Toc64026482</vt:lpwstr>
      </vt:variant>
      <vt:variant>
        <vt:i4>1310776</vt:i4>
      </vt:variant>
      <vt:variant>
        <vt:i4>44</vt:i4>
      </vt:variant>
      <vt:variant>
        <vt:i4>0</vt:i4>
      </vt:variant>
      <vt:variant>
        <vt:i4>5</vt:i4>
      </vt:variant>
      <vt:variant>
        <vt:lpwstr/>
      </vt:variant>
      <vt:variant>
        <vt:lpwstr>_Toc64026481</vt:lpwstr>
      </vt:variant>
      <vt:variant>
        <vt:i4>1376312</vt:i4>
      </vt:variant>
      <vt:variant>
        <vt:i4>38</vt:i4>
      </vt:variant>
      <vt:variant>
        <vt:i4>0</vt:i4>
      </vt:variant>
      <vt:variant>
        <vt:i4>5</vt:i4>
      </vt:variant>
      <vt:variant>
        <vt:lpwstr/>
      </vt:variant>
      <vt:variant>
        <vt:lpwstr>_Toc64026480</vt:lpwstr>
      </vt:variant>
      <vt:variant>
        <vt:i4>1835063</vt:i4>
      </vt:variant>
      <vt:variant>
        <vt:i4>32</vt:i4>
      </vt:variant>
      <vt:variant>
        <vt:i4>0</vt:i4>
      </vt:variant>
      <vt:variant>
        <vt:i4>5</vt:i4>
      </vt:variant>
      <vt:variant>
        <vt:lpwstr/>
      </vt:variant>
      <vt:variant>
        <vt:lpwstr>_Toc64026479</vt:lpwstr>
      </vt:variant>
      <vt:variant>
        <vt:i4>1900599</vt:i4>
      </vt:variant>
      <vt:variant>
        <vt:i4>26</vt:i4>
      </vt:variant>
      <vt:variant>
        <vt:i4>0</vt:i4>
      </vt:variant>
      <vt:variant>
        <vt:i4>5</vt:i4>
      </vt:variant>
      <vt:variant>
        <vt:lpwstr/>
      </vt:variant>
      <vt:variant>
        <vt:lpwstr>_Toc64026478</vt:lpwstr>
      </vt:variant>
      <vt:variant>
        <vt:i4>1179703</vt:i4>
      </vt:variant>
      <vt:variant>
        <vt:i4>20</vt:i4>
      </vt:variant>
      <vt:variant>
        <vt:i4>0</vt:i4>
      </vt:variant>
      <vt:variant>
        <vt:i4>5</vt:i4>
      </vt:variant>
      <vt:variant>
        <vt:lpwstr/>
      </vt:variant>
      <vt:variant>
        <vt:lpwstr>_Toc64026477</vt:lpwstr>
      </vt:variant>
      <vt:variant>
        <vt:i4>1245239</vt:i4>
      </vt:variant>
      <vt:variant>
        <vt:i4>14</vt:i4>
      </vt:variant>
      <vt:variant>
        <vt:i4>0</vt:i4>
      </vt:variant>
      <vt:variant>
        <vt:i4>5</vt:i4>
      </vt:variant>
      <vt:variant>
        <vt:lpwstr/>
      </vt:variant>
      <vt:variant>
        <vt:lpwstr>_Toc64026476</vt:lpwstr>
      </vt:variant>
      <vt:variant>
        <vt:i4>1048631</vt:i4>
      </vt:variant>
      <vt:variant>
        <vt:i4>8</vt:i4>
      </vt:variant>
      <vt:variant>
        <vt:i4>0</vt:i4>
      </vt:variant>
      <vt:variant>
        <vt:i4>5</vt:i4>
      </vt:variant>
      <vt:variant>
        <vt:lpwstr/>
      </vt:variant>
      <vt:variant>
        <vt:lpwstr>_Toc64026475</vt:lpwstr>
      </vt:variant>
      <vt:variant>
        <vt:i4>1114167</vt:i4>
      </vt:variant>
      <vt:variant>
        <vt:i4>2</vt:i4>
      </vt:variant>
      <vt:variant>
        <vt:i4>0</vt:i4>
      </vt:variant>
      <vt:variant>
        <vt:i4>5</vt:i4>
      </vt:variant>
      <vt:variant>
        <vt:lpwstr/>
      </vt:variant>
      <vt:variant>
        <vt:lpwstr>_Toc64026474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401 Lesson Plans:  Fall, 1997</dc:title>
  <dc:subject/>
  <dc:creator>Andy Anderson</dc:creator>
  <cp:keywords/>
  <cp:lastModifiedBy>Qinyun Lin</cp:lastModifiedBy>
  <cp:revision>19</cp:revision>
  <cp:lastPrinted>2021-02-18T21:23:00Z</cp:lastPrinted>
  <dcterms:created xsi:type="dcterms:W3CDTF">2021-08-07T19:21:00Z</dcterms:created>
  <dcterms:modified xsi:type="dcterms:W3CDTF">2021-08-17T04:06:00Z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0x010100665EACAEC64C114EA99A1E5284D54B0B</vt:lpwstr>
  </property>
</Properties>
</file>